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7F0E7" w14:textId="0AFE9C4E" w:rsidR="00547D08" w:rsidRDefault="00AD7287" w:rsidP="00547D08">
      <w:pPr>
        <w:suppressAutoHyphens/>
        <w:spacing w:after="100" w:afterAutospacing="1" w:line="240" w:lineRule="auto"/>
        <w:rPr>
          <w:rFonts w:ascii="Calibri" w:eastAsia="Times New Roman" w:hAnsi="Calibri" w:cs="Calibri"/>
          <w:kern w:val="0"/>
          <w:sz w:val="22"/>
          <w:szCs w:val="22"/>
          <w:lang w:eastAsia="hu-HU"/>
          <w14:ligatures w14:val="none"/>
        </w:rPr>
      </w:pPr>
      <w:r>
        <w:rPr>
          <w:rFonts w:ascii="Calibri" w:eastAsia="Times New Roman" w:hAnsi="Calibri" w:cs="Calibri"/>
          <w:kern w:val="0"/>
          <w:sz w:val="22"/>
          <w:szCs w:val="22"/>
          <w:lang w:eastAsia="hu-HU"/>
          <w14:ligatures w14:val="none"/>
        </w:rPr>
        <w:t>Sajtó</w:t>
      </w:r>
      <w:r w:rsidR="00B013C3">
        <w:rPr>
          <w:rFonts w:ascii="Calibri" w:eastAsia="Times New Roman" w:hAnsi="Calibri" w:cs="Calibri"/>
          <w:kern w:val="0"/>
          <w:sz w:val="22"/>
          <w:szCs w:val="22"/>
          <w:lang w:eastAsia="hu-HU"/>
          <w14:ligatures w14:val="none"/>
        </w:rPr>
        <w:t>közlemény</w:t>
      </w:r>
    </w:p>
    <w:p w14:paraId="5E024B03" w14:textId="24ADBFCD" w:rsidR="001D4A7F" w:rsidRPr="004425F2" w:rsidRDefault="001D4A7F" w:rsidP="00547D08">
      <w:pPr>
        <w:suppressAutoHyphens/>
        <w:spacing w:after="100" w:afterAutospacing="1" w:line="240" w:lineRule="auto"/>
        <w:rPr>
          <w:rFonts w:ascii="Calibri" w:eastAsia="Times New Roman" w:hAnsi="Calibri" w:cs="Calibri"/>
          <w:kern w:val="0"/>
          <w:sz w:val="22"/>
          <w:szCs w:val="22"/>
          <w:lang w:eastAsia="hu-HU"/>
          <w14:ligatures w14:val="none"/>
        </w:rPr>
      </w:pPr>
      <w:r>
        <w:rPr>
          <w:rFonts w:ascii="Calibri" w:eastAsia="Times New Roman" w:hAnsi="Calibri" w:cs="Calibri"/>
          <w:kern w:val="0"/>
          <w:sz w:val="22"/>
          <w:szCs w:val="22"/>
          <w:lang w:eastAsia="hu-HU"/>
          <w14:ligatures w14:val="none"/>
        </w:rPr>
        <w:t xml:space="preserve">Budapest, 2025. </w:t>
      </w:r>
      <w:r w:rsidR="0001786A">
        <w:rPr>
          <w:rFonts w:ascii="Calibri" w:eastAsia="Times New Roman" w:hAnsi="Calibri" w:cs="Calibri"/>
          <w:kern w:val="0"/>
          <w:sz w:val="22"/>
          <w:szCs w:val="22"/>
          <w:lang w:eastAsia="hu-HU"/>
          <w14:ligatures w14:val="none"/>
        </w:rPr>
        <w:t>április 1.</w:t>
      </w:r>
    </w:p>
    <w:p w14:paraId="39B06379" w14:textId="49ABA2E0" w:rsidR="00FB65E1" w:rsidRPr="00684879" w:rsidRDefault="004A177F" w:rsidP="00684879">
      <w:pPr>
        <w:spacing w:after="0" w:line="240" w:lineRule="auto"/>
        <w:rPr>
          <w:rFonts w:ascii="Calibri" w:hAnsi="Calibri" w:cs="Calibri"/>
          <w:b/>
          <w:bCs/>
          <w:color w:val="E97032"/>
          <w:kern w:val="0"/>
          <w:sz w:val="32"/>
          <w:szCs w:val="32"/>
        </w:rPr>
      </w:pPr>
      <w:r>
        <w:rPr>
          <w:rFonts w:ascii="Calibri" w:hAnsi="Calibri" w:cs="Calibri"/>
          <w:b/>
          <w:bCs/>
          <w:color w:val="E97032"/>
          <w:kern w:val="0"/>
          <w:sz w:val="32"/>
          <w:szCs w:val="32"/>
        </w:rPr>
        <w:t>Megfizethetővé válhat a külföldi gyógykezelés súlyos betegs</w:t>
      </w:r>
      <w:r w:rsidR="00302F51">
        <w:rPr>
          <w:rFonts w:ascii="Calibri" w:hAnsi="Calibri" w:cs="Calibri"/>
          <w:b/>
          <w:bCs/>
          <w:color w:val="E97032"/>
          <w:kern w:val="0"/>
          <w:sz w:val="32"/>
          <w:szCs w:val="32"/>
        </w:rPr>
        <w:t>ég</w:t>
      </w:r>
      <w:r>
        <w:rPr>
          <w:rFonts w:ascii="Calibri" w:hAnsi="Calibri" w:cs="Calibri"/>
          <w:b/>
          <w:bCs/>
          <w:color w:val="E97032"/>
          <w:kern w:val="0"/>
          <w:sz w:val="32"/>
          <w:szCs w:val="32"/>
        </w:rPr>
        <w:t xml:space="preserve"> eseté</w:t>
      </w:r>
      <w:r w:rsidR="0001786A">
        <w:rPr>
          <w:rFonts w:ascii="Calibri" w:hAnsi="Calibri" w:cs="Calibri"/>
          <w:b/>
          <w:bCs/>
          <w:color w:val="E97032"/>
          <w:kern w:val="0"/>
          <w:sz w:val="32"/>
          <w:szCs w:val="32"/>
        </w:rPr>
        <w:t>re</w:t>
      </w:r>
    </w:p>
    <w:p w14:paraId="74221ACE" w14:textId="77777777" w:rsidR="0001792A" w:rsidRPr="00684879" w:rsidRDefault="0001792A" w:rsidP="008775D5">
      <w:pPr>
        <w:rPr>
          <w:rFonts w:ascii="Calibri" w:hAnsi="Calibri" w:cs="Calibri"/>
        </w:rPr>
      </w:pPr>
    </w:p>
    <w:p w14:paraId="3695BD07" w14:textId="1AB0BA86" w:rsidR="00270003" w:rsidRPr="004A177F" w:rsidRDefault="00E05C55" w:rsidP="008775D5">
      <w:pPr>
        <w:rPr>
          <w:rFonts w:ascii="Calibri" w:hAnsi="Calibri" w:cs="Calibri"/>
          <w:b/>
          <w:bCs/>
          <w:sz w:val="22"/>
          <w:szCs w:val="22"/>
        </w:rPr>
      </w:pPr>
      <w:r w:rsidRPr="00E05C55">
        <w:rPr>
          <w:rFonts w:ascii="Calibri" w:hAnsi="Calibri" w:cs="Calibri"/>
          <w:b/>
          <w:bCs/>
          <w:sz w:val="22"/>
          <w:szCs w:val="22"/>
        </w:rPr>
        <w:t xml:space="preserve">Magyarországon aggasztóak a daganatos megbetegedések statisztikái: évente </w:t>
      </w:r>
      <w:hyperlink r:id="rId11" w:history="1">
        <w:r w:rsidRPr="00E05C55">
          <w:rPr>
            <w:rStyle w:val="Hyperlink"/>
            <w:rFonts w:ascii="Calibri" w:hAnsi="Calibri" w:cs="Calibri"/>
            <w:b/>
            <w:bCs/>
            <w:sz w:val="22"/>
            <w:szCs w:val="22"/>
          </w:rPr>
          <w:t>31 ezren</w:t>
        </w:r>
      </w:hyperlink>
      <w:r w:rsidRPr="00E05C55">
        <w:rPr>
          <w:rFonts w:ascii="Calibri" w:hAnsi="Calibri" w:cs="Calibri"/>
          <w:b/>
          <w:bCs/>
          <w:sz w:val="22"/>
          <w:szCs w:val="22"/>
        </w:rPr>
        <w:t xml:space="preserve"> halnak meg ilyen betegségben, amivel lakosságarányosan Európában </w:t>
      </w:r>
      <w:hyperlink r:id="rId12" w:history="1">
        <w:r w:rsidRPr="00E05C55">
          <w:rPr>
            <w:rStyle w:val="Hyperlink"/>
            <w:rFonts w:ascii="Calibri" w:hAnsi="Calibri" w:cs="Calibri"/>
            <w:b/>
            <w:bCs/>
            <w:sz w:val="22"/>
            <w:szCs w:val="22"/>
          </w:rPr>
          <w:t>a legrosszabb helyzetben</w:t>
        </w:r>
      </w:hyperlink>
      <w:r w:rsidRPr="00E05C55">
        <w:rPr>
          <w:rFonts w:ascii="Calibri" w:hAnsi="Calibri" w:cs="Calibri"/>
          <w:b/>
          <w:bCs/>
          <w:sz w:val="22"/>
          <w:szCs w:val="22"/>
        </w:rPr>
        <w:t xml:space="preserve"> vagyunk. </w:t>
      </w:r>
      <w:r w:rsidR="006B69B1">
        <w:rPr>
          <w:rFonts w:ascii="Calibri" w:hAnsi="Calibri" w:cs="Calibri"/>
          <w:b/>
          <w:bCs/>
          <w:sz w:val="22"/>
          <w:szCs w:val="22"/>
        </w:rPr>
        <w:t>Mivel</w:t>
      </w:r>
      <w:r w:rsidR="006B69B1">
        <w:rPr>
          <w:rFonts w:ascii="Calibri" w:hAnsi="Calibri" w:cs="Calibri"/>
          <w:sz w:val="22"/>
          <w:szCs w:val="22"/>
        </w:rPr>
        <w:t xml:space="preserve"> </w:t>
      </w:r>
      <w:r w:rsidR="00B013C3">
        <w:rPr>
          <w:rFonts w:ascii="Calibri" w:hAnsi="Calibri" w:cs="Calibri"/>
          <w:b/>
          <w:bCs/>
          <w:sz w:val="22"/>
          <w:szCs w:val="22"/>
        </w:rPr>
        <w:t xml:space="preserve">a </w:t>
      </w:r>
      <w:r>
        <w:rPr>
          <w:rFonts w:ascii="Calibri" w:hAnsi="Calibri" w:cs="Calibri"/>
          <w:b/>
          <w:bCs/>
          <w:sz w:val="22"/>
          <w:szCs w:val="22"/>
        </w:rPr>
        <w:t>gyógyulási</w:t>
      </w:r>
      <w:r w:rsidR="00B013C3">
        <w:rPr>
          <w:rFonts w:ascii="Calibri" w:hAnsi="Calibri" w:cs="Calibri"/>
          <w:b/>
          <w:bCs/>
          <w:sz w:val="22"/>
          <w:szCs w:val="22"/>
        </w:rPr>
        <w:t xml:space="preserve"> esélyek is </w:t>
      </w:r>
      <w:r w:rsidR="00B013C3" w:rsidRPr="00B013C3">
        <w:rPr>
          <w:rFonts w:ascii="Calibri" w:hAnsi="Calibri" w:cs="Calibri"/>
          <w:b/>
          <w:bCs/>
          <w:sz w:val="22"/>
          <w:szCs w:val="22"/>
        </w:rPr>
        <w:t>messze elmaradnak a fejlettebb országokban tapasztaltaktól</w:t>
      </w:r>
      <w:r w:rsidR="006B69B1">
        <w:rPr>
          <w:rFonts w:ascii="Calibri" w:hAnsi="Calibri" w:cs="Calibri"/>
          <w:b/>
          <w:bCs/>
          <w:sz w:val="22"/>
          <w:szCs w:val="22"/>
        </w:rPr>
        <w:t>,</w:t>
      </w:r>
      <w:r w:rsidR="00B013C3">
        <w:rPr>
          <w:rFonts w:ascii="Calibri" w:hAnsi="Calibri" w:cs="Calibri"/>
          <w:b/>
          <w:bCs/>
          <w:sz w:val="22"/>
          <w:szCs w:val="22"/>
        </w:rPr>
        <w:t xml:space="preserve"> </w:t>
      </w:r>
      <w:r w:rsidR="006B69B1">
        <w:rPr>
          <w:rFonts w:ascii="Calibri" w:hAnsi="Calibri" w:cs="Calibri"/>
          <w:b/>
          <w:bCs/>
          <w:sz w:val="22"/>
          <w:szCs w:val="22"/>
        </w:rPr>
        <w:t>folyamatosan előtérbe kerül az „onkoturizmus”, vagyis</w:t>
      </w:r>
      <w:r w:rsidR="00B013C3">
        <w:rPr>
          <w:rFonts w:ascii="Calibri" w:hAnsi="Calibri" w:cs="Calibri"/>
          <w:b/>
          <w:bCs/>
          <w:sz w:val="22"/>
          <w:szCs w:val="22"/>
        </w:rPr>
        <w:t xml:space="preserve"> e</w:t>
      </w:r>
      <w:r w:rsidR="00B013C3" w:rsidRPr="00B013C3">
        <w:rPr>
          <w:rFonts w:ascii="Calibri" w:hAnsi="Calibri" w:cs="Calibri"/>
          <w:b/>
          <w:bCs/>
          <w:sz w:val="22"/>
          <w:szCs w:val="22"/>
        </w:rPr>
        <w:t xml:space="preserve">gyre </w:t>
      </w:r>
      <w:r w:rsidR="00B013C3">
        <w:rPr>
          <w:rFonts w:ascii="Calibri" w:hAnsi="Calibri" w:cs="Calibri"/>
          <w:b/>
          <w:bCs/>
          <w:sz w:val="22"/>
          <w:szCs w:val="22"/>
        </w:rPr>
        <w:t xml:space="preserve">többen </w:t>
      </w:r>
      <w:r w:rsidR="004A177F">
        <w:rPr>
          <w:rFonts w:ascii="Calibri" w:hAnsi="Calibri" w:cs="Calibri"/>
          <w:b/>
          <w:bCs/>
          <w:sz w:val="22"/>
          <w:szCs w:val="22"/>
        </w:rPr>
        <w:t xml:space="preserve">gondolkodnak </w:t>
      </w:r>
      <w:r w:rsidR="00B013C3" w:rsidRPr="00B013C3">
        <w:rPr>
          <w:rFonts w:ascii="Calibri" w:hAnsi="Calibri" w:cs="Calibri"/>
          <w:b/>
          <w:bCs/>
          <w:sz w:val="22"/>
          <w:szCs w:val="22"/>
        </w:rPr>
        <w:t>külföldi gyógykezelés</w:t>
      </w:r>
      <w:r w:rsidR="006B69B1">
        <w:rPr>
          <w:rFonts w:ascii="Calibri" w:hAnsi="Calibri" w:cs="Calibri"/>
          <w:b/>
          <w:bCs/>
          <w:sz w:val="22"/>
          <w:szCs w:val="22"/>
        </w:rPr>
        <w:t>ben</w:t>
      </w:r>
      <w:r w:rsidR="004A177F">
        <w:rPr>
          <w:rFonts w:ascii="Calibri" w:hAnsi="Calibri" w:cs="Calibri"/>
          <w:b/>
          <w:bCs/>
          <w:sz w:val="22"/>
          <w:szCs w:val="22"/>
        </w:rPr>
        <w:t xml:space="preserve"> az orvostudomány legújabb innovációihoz</w:t>
      </w:r>
      <w:r w:rsidR="006B69B1">
        <w:rPr>
          <w:rFonts w:ascii="Calibri" w:hAnsi="Calibri" w:cs="Calibri"/>
          <w:b/>
          <w:bCs/>
          <w:sz w:val="22"/>
          <w:szCs w:val="22"/>
        </w:rPr>
        <w:t xml:space="preserve"> való hozzáférés reményében</w:t>
      </w:r>
      <w:r w:rsidR="004A177F">
        <w:rPr>
          <w:rFonts w:ascii="Calibri" w:hAnsi="Calibri" w:cs="Calibri"/>
          <w:b/>
          <w:bCs/>
          <w:sz w:val="22"/>
          <w:szCs w:val="22"/>
        </w:rPr>
        <w:t xml:space="preserve">. Egy ilyen kezelés azonban akár több tízmillió forintba is kerülhet, </w:t>
      </w:r>
      <w:r w:rsidR="006B69B1">
        <w:rPr>
          <w:rFonts w:ascii="Calibri" w:hAnsi="Calibri" w:cs="Calibri"/>
          <w:b/>
          <w:bCs/>
          <w:sz w:val="22"/>
          <w:szCs w:val="22"/>
        </w:rPr>
        <w:t xml:space="preserve">ami </w:t>
      </w:r>
      <w:r w:rsidR="00B013C3" w:rsidRPr="00B013C3">
        <w:rPr>
          <w:rFonts w:ascii="Calibri" w:hAnsi="Calibri" w:cs="Calibri"/>
          <w:b/>
          <w:bCs/>
          <w:sz w:val="22"/>
          <w:szCs w:val="22"/>
        </w:rPr>
        <w:t xml:space="preserve">a </w:t>
      </w:r>
      <w:r w:rsidR="004A177F">
        <w:rPr>
          <w:rFonts w:ascii="Calibri" w:hAnsi="Calibri" w:cs="Calibri"/>
          <w:b/>
          <w:bCs/>
          <w:sz w:val="22"/>
          <w:szCs w:val="22"/>
        </w:rPr>
        <w:t>többség</w:t>
      </w:r>
      <w:r w:rsidR="00B013C3" w:rsidRPr="00B013C3">
        <w:rPr>
          <w:rFonts w:ascii="Calibri" w:hAnsi="Calibri" w:cs="Calibri"/>
          <w:b/>
          <w:bCs/>
          <w:sz w:val="22"/>
          <w:szCs w:val="22"/>
        </w:rPr>
        <w:t xml:space="preserve"> számára megfizethetetlen. </w:t>
      </w:r>
    </w:p>
    <w:p w14:paraId="238F3FDE" w14:textId="6B90DEBB" w:rsidR="00B013C3" w:rsidRDefault="006B69B1" w:rsidP="00B013C3">
      <w:pPr>
        <w:rPr>
          <w:rFonts w:ascii="Calibri" w:hAnsi="Calibri" w:cs="Calibri"/>
          <w:sz w:val="22"/>
          <w:szCs w:val="22"/>
        </w:rPr>
      </w:pPr>
      <w:r w:rsidRPr="00CD4AAC">
        <w:rPr>
          <w:rFonts w:ascii="Calibri" w:hAnsi="Calibri" w:cs="Calibri"/>
          <w:kern w:val="0"/>
          <w:sz w:val="22"/>
          <w:szCs w:val="22"/>
        </w:rPr>
        <w:t xml:space="preserve">A </w:t>
      </w:r>
      <w:r>
        <w:rPr>
          <w:rFonts w:ascii="Calibri" w:hAnsi="Calibri" w:cs="Calibri"/>
          <w:kern w:val="0"/>
          <w:sz w:val="22"/>
          <w:szCs w:val="22"/>
        </w:rPr>
        <w:t>rosszindulatú daganatos megbetegedések</w:t>
      </w:r>
      <w:r w:rsidRPr="00CD4AAC">
        <w:rPr>
          <w:rFonts w:ascii="Calibri" w:hAnsi="Calibri" w:cs="Calibri"/>
          <w:kern w:val="0"/>
          <w:sz w:val="22"/>
          <w:szCs w:val="22"/>
        </w:rPr>
        <w:t xml:space="preserve"> okozta </w:t>
      </w:r>
      <w:r>
        <w:rPr>
          <w:rFonts w:ascii="Calibri" w:hAnsi="Calibri" w:cs="Calibri"/>
          <w:kern w:val="0"/>
          <w:sz w:val="22"/>
          <w:szCs w:val="22"/>
        </w:rPr>
        <w:t xml:space="preserve">magas </w:t>
      </w:r>
      <w:r w:rsidRPr="00CD4AAC">
        <w:rPr>
          <w:rFonts w:ascii="Calibri" w:hAnsi="Calibri" w:cs="Calibri"/>
          <w:kern w:val="0"/>
          <w:sz w:val="22"/>
          <w:szCs w:val="22"/>
        </w:rPr>
        <w:t>halálozás</w:t>
      </w:r>
      <w:r>
        <w:rPr>
          <w:rFonts w:ascii="Calibri" w:hAnsi="Calibri" w:cs="Calibri"/>
          <w:kern w:val="0"/>
          <w:sz w:val="22"/>
          <w:szCs w:val="22"/>
        </w:rPr>
        <w:t>i</w:t>
      </w:r>
      <w:r w:rsidRPr="00CD4AAC">
        <w:rPr>
          <w:rFonts w:ascii="Calibri" w:hAnsi="Calibri" w:cs="Calibri"/>
          <w:kern w:val="0"/>
          <w:sz w:val="22"/>
          <w:szCs w:val="22"/>
        </w:rPr>
        <w:t xml:space="preserve"> </w:t>
      </w:r>
      <w:r>
        <w:rPr>
          <w:rFonts w:ascii="Calibri" w:hAnsi="Calibri" w:cs="Calibri"/>
          <w:kern w:val="0"/>
          <w:sz w:val="22"/>
          <w:szCs w:val="22"/>
        </w:rPr>
        <w:t>arány</w:t>
      </w:r>
      <w:r w:rsidR="00E05C55">
        <w:rPr>
          <w:rFonts w:ascii="Calibri" w:hAnsi="Calibri" w:cs="Calibri"/>
          <w:sz w:val="22"/>
          <w:szCs w:val="22"/>
        </w:rPr>
        <w:t xml:space="preserve"> </w:t>
      </w:r>
      <w:r w:rsidR="00B013C3" w:rsidRPr="00B013C3">
        <w:rPr>
          <w:rFonts w:ascii="Calibri" w:hAnsi="Calibri" w:cs="Calibri"/>
          <w:sz w:val="22"/>
          <w:szCs w:val="22"/>
        </w:rPr>
        <w:t xml:space="preserve">egyik </w:t>
      </w:r>
      <w:r>
        <w:rPr>
          <w:rFonts w:ascii="Calibri" w:hAnsi="Calibri" w:cs="Calibri"/>
          <w:sz w:val="22"/>
          <w:szCs w:val="22"/>
        </w:rPr>
        <w:t xml:space="preserve">fő </w:t>
      </w:r>
      <w:r w:rsidR="00B013C3" w:rsidRPr="00B013C3">
        <w:rPr>
          <w:rFonts w:ascii="Calibri" w:hAnsi="Calibri" w:cs="Calibri"/>
          <w:sz w:val="22"/>
          <w:szCs w:val="22"/>
        </w:rPr>
        <w:t xml:space="preserve">oka az </w:t>
      </w:r>
      <w:hyperlink r:id="rId13" w:history="1">
        <w:r w:rsidR="00B013C3" w:rsidRPr="00B013C3">
          <w:rPr>
            <w:rStyle w:val="Hyperlink"/>
            <w:rFonts w:ascii="Calibri" w:hAnsi="Calibri" w:cs="Calibri"/>
            <w:sz w:val="22"/>
            <w:szCs w:val="22"/>
          </w:rPr>
          <w:t>egészségtelen életmód</w:t>
        </w:r>
      </w:hyperlink>
      <w:r w:rsidR="00B013C3" w:rsidRPr="00B013C3">
        <w:rPr>
          <w:rFonts w:ascii="Calibri" w:hAnsi="Calibri" w:cs="Calibri"/>
          <w:sz w:val="22"/>
          <w:szCs w:val="22"/>
        </w:rPr>
        <w:t xml:space="preserve"> mellett, hogy </w:t>
      </w:r>
      <w:hyperlink r:id="rId14" w:history="1">
        <w:r w:rsidR="00B013C3" w:rsidRPr="00B013C3">
          <w:rPr>
            <w:rStyle w:val="Hyperlink"/>
            <w:rFonts w:ascii="Calibri" w:hAnsi="Calibri" w:cs="Calibri"/>
            <w:sz w:val="22"/>
            <w:szCs w:val="22"/>
          </w:rPr>
          <w:t>túl későn diagnosztizálják</w:t>
        </w:r>
      </w:hyperlink>
      <w:r w:rsidR="00B013C3" w:rsidRPr="00B013C3">
        <w:rPr>
          <w:rFonts w:ascii="Calibri" w:hAnsi="Calibri" w:cs="Calibri"/>
          <w:sz w:val="22"/>
          <w:szCs w:val="22"/>
        </w:rPr>
        <w:t xml:space="preserve"> a betegséget, mert csak kevesen veszik igénybe a </w:t>
      </w:r>
      <w:hyperlink r:id="rId15" w:history="1">
        <w:r w:rsidR="00B013C3" w:rsidRPr="00B013C3">
          <w:rPr>
            <w:rStyle w:val="Hyperlink"/>
            <w:rFonts w:ascii="Calibri" w:hAnsi="Calibri" w:cs="Calibri"/>
            <w:sz w:val="22"/>
            <w:szCs w:val="22"/>
          </w:rPr>
          <w:t>szűrővizsgálatokat</w:t>
        </w:r>
      </w:hyperlink>
      <w:r w:rsidR="00B013C3" w:rsidRPr="00B013C3">
        <w:rPr>
          <w:rFonts w:ascii="Calibri" w:hAnsi="Calibri" w:cs="Calibri"/>
          <w:sz w:val="22"/>
          <w:szCs w:val="22"/>
        </w:rPr>
        <w:t xml:space="preserve">. </w:t>
      </w:r>
      <w:r>
        <w:rPr>
          <w:rFonts w:ascii="Calibri" w:hAnsi="Calibri" w:cs="Calibri"/>
          <w:sz w:val="22"/>
          <w:szCs w:val="22"/>
        </w:rPr>
        <w:t xml:space="preserve">Márpedig ez is hozzájárul ahhoz, </w:t>
      </w:r>
      <w:r w:rsidR="008207EF">
        <w:rPr>
          <w:rFonts w:ascii="Calibri" w:hAnsi="Calibri" w:cs="Calibri"/>
          <w:kern w:val="0"/>
          <w:sz w:val="22"/>
          <w:szCs w:val="22"/>
        </w:rPr>
        <w:t xml:space="preserve">hogy a születéskor várható </w:t>
      </w:r>
      <w:hyperlink r:id="rId16" w:history="1">
        <w:r w:rsidR="008207EF" w:rsidRPr="006B69B1">
          <w:rPr>
            <w:rStyle w:val="Hyperlink"/>
            <w:rFonts w:ascii="Calibri" w:hAnsi="Calibri" w:cs="Calibri"/>
            <w:kern w:val="0"/>
            <w:sz w:val="22"/>
            <w:szCs w:val="22"/>
          </w:rPr>
          <w:t>élettartam</w:t>
        </w:r>
      </w:hyperlink>
      <w:r w:rsidR="008207EF">
        <w:rPr>
          <w:rFonts w:ascii="Calibri" w:hAnsi="Calibri" w:cs="Calibri"/>
          <w:kern w:val="0"/>
          <w:sz w:val="22"/>
          <w:szCs w:val="22"/>
        </w:rPr>
        <w:t xml:space="preserve"> </w:t>
      </w:r>
      <w:r w:rsidR="007659AB">
        <w:rPr>
          <w:rFonts w:ascii="Calibri" w:hAnsi="Calibri" w:cs="Calibri"/>
          <w:kern w:val="0"/>
          <w:sz w:val="22"/>
          <w:szCs w:val="22"/>
        </w:rPr>
        <w:t>nálunk</w:t>
      </w:r>
      <w:r w:rsidR="008207EF">
        <w:rPr>
          <w:rFonts w:ascii="Calibri" w:hAnsi="Calibri" w:cs="Calibri"/>
          <w:kern w:val="0"/>
          <w:sz w:val="22"/>
          <w:szCs w:val="22"/>
        </w:rPr>
        <w:t xml:space="preserve"> több mint négy </w:t>
      </w:r>
      <w:r w:rsidR="001D4A7F">
        <w:rPr>
          <w:rFonts w:ascii="Calibri" w:hAnsi="Calibri" w:cs="Calibri"/>
          <w:kern w:val="0"/>
          <w:sz w:val="22"/>
          <w:szCs w:val="22"/>
        </w:rPr>
        <w:t xml:space="preserve">és fél </w:t>
      </w:r>
      <w:r w:rsidR="008207EF">
        <w:rPr>
          <w:rFonts w:ascii="Calibri" w:hAnsi="Calibri" w:cs="Calibri"/>
          <w:kern w:val="0"/>
          <w:sz w:val="22"/>
          <w:szCs w:val="22"/>
        </w:rPr>
        <w:t>évvel alacsonyabb az Európai Unió átlag</w:t>
      </w:r>
      <w:r w:rsidR="00443BF0">
        <w:rPr>
          <w:rFonts w:ascii="Calibri" w:hAnsi="Calibri" w:cs="Calibri"/>
          <w:kern w:val="0"/>
          <w:sz w:val="22"/>
          <w:szCs w:val="22"/>
        </w:rPr>
        <w:t>ánál</w:t>
      </w:r>
      <w:r w:rsidR="008207EF">
        <w:rPr>
          <w:rFonts w:ascii="Calibri" w:hAnsi="Calibri" w:cs="Calibri"/>
          <w:kern w:val="0"/>
          <w:sz w:val="22"/>
          <w:szCs w:val="22"/>
        </w:rPr>
        <w:t xml:space="preserve">. </w:t>
      </w:r>
      <w:r w:rsidR="00B013C3" w:rsidRPr="00B013C3">
        <w:rPr>
          <w:rFonts w:ascii="Calibri" w:hAnsi="Calibri" w:cs="Calibri"/>
          <w:sz w:val="22"/>
          <w:szCs w:val="22"/>
        </w:rPr>
        <w:t xml:space="preserve">Szerencsére azonban mind a diagnosztika, mind a kezelés terén egyre újabb innovatív tudományos áttörések jelennek meg, melyeknek köszönhetően </w:t>
      </w:r>
      <w:hyperlink r:id="rId17" w:history="1">
        <w:r w:rsidR="00B013C3" w:rsidRPr="00B013C3">
          <w:rPr>
            <w:rStyle w:val="Hyperlink"/>
            <w:rFonts w:ascii="Calibri" w:hAnsi="Calibri" w:cs="Calibri"/>
            <w:sz w:val="22"/>
            <w:szCs w:val="22"/>
          </w:rPr>
          <w:t>folyamatosan javulnak</w:t>
        </w:r>
      </w:hyperlink>
      <w:r w:rsidR="00B013C3" w:rsidRPr="00B013C3">
        <w:rPr>
          <w:rFonts w:ascii="Calibri" w:hAnsi="Calibri" w:cs="Calibri"/>
          <w:sz w:val="22"/>
          <w:szCs w:val="22"/>
        </w:rPr>
        <w:t xml:space="preserve"> a gyógyulási esélyek. </w:t>
      </w:r>
    </w:p>
    <w:p w14:paraId="21A3CCBD" w14:textId="0B7D3A47" w:rsidR="000C7657" w:rsidRDefault="000C7657" w:rsidP="00B013C3">
      <w:pPr>
        <w:rPr>
          <w:rFonts w:ascii="Calibri" w:hAnsi="Calibri" w:cs="Calibri"/>
          <w:sz w:val="22"/>
          <w:szCs w:val="22"/>
        </w:rPr>
      </w:pPr>
      <w:r>
        <w:rPr>
          <w:rFonts w:ascii="Calibri" w:hAnsi="Calibri" w:cs="Calibri"/>
          <w:sz w:val="22"/>
          <w:szCs w:val="22"/>
        </w:rPr>
        <w:t>Ezzel párhuzamosan dinamikusan nő a magánegészségügyi szolgáltatások iránti igény</w:t>
      </w:r>
      <w:r w:rsidR="00443BF0">
        <w:rPr>
          <w:rFonts w:ascii="Calibri" w:hAnsi="Calibri" w:cs="Calibri"/>
          <w:sz w:val="22"/>
          <w:szCs w:val="22"/>
        </w:rPr>
        <w:t xml:space="preserve">: </w:t>
      </w:r>
      <w:r>
        <w:rPr>
          <w:rFonts w:ascii="Calibri" w:hAnsi="Calibri" w:cs="Calibri"/>
          <w:sz w:val="22"/>
          <w:szCs w:val="22"/>
        </w:rPr>
        <w:t>2023-ban már 800 milliárd forint</w:t>
      </w:r>
      <w:r w:rsidR="00443BF0">
        <w:rPr>
          <w:rFonts w:ascii="Calibri" w:hAnsi="Calibri" w:cs="Calibri"/>
          <w:sz w:val="22"/>
          <w:szCs w:val="22"/>
        </w:rPr>
        <w:t>ot ért el ezen szolgáltatók forgalma</w:t>
      </w:r>
      <w:r w:rsidR="005511EF">
        <w:rPr>
          <w:rFonts w:ascii="Calibri" w:hAnsi="Calibri" w:cs="Calibri"/>
          <w:sz w:val="22"/>
          <w:szCs w:val="22"/>
        </w:rPr>
        <w:t xml:space="preserve"> éves szinten</w:t>
      </w:r>
      <w:r w:rsidR="005511EF">
        <w:rPr>
          <w:rStyle w:val="FootnoteReference"/>
          <w:rFonts w:ascii="Calibri" w:hAnsi="Calibri" w:cs="Calibri"/>
          <w:sz w:val="22"/>
          <w:szCs w:val="22"/>
        </w:rPr>
        <w:footnoteReference w:id="1"/>
      </w:r>
      <w:r>
        <w:rPr>
          <w:rFonts w:ascii="Calibri" w:hAnsi="Calibri" w:cs="Calibri"/>
          <w:sz w:val="22"/>
          <w:szCs w:val="22"/>
        </w:rPr>
        <w:t xml:space="preserve">. Ez </w:t>
      </w:r>
      <w:r w:rsidR="00302F51">
        <w:rPr>
          <w:rFonts w:ascii="Calibri" w:hAnsi="Calibri" w:cs="Calibri"/>
          <w:sz w:val="22"/>
          <w:szCs w:val="22"/>
        </w:rPr>
        <w:t xml:space="preserve">a dinamikus növekedés </w:t>
      </w:r>
      <w:r>
        <w:rPr>
          <w:rFonts w:ascii="Calibri" w:hAnsi="Calibri" w:cs="Calibri"/>
          <w:sz w:val="22"/>
          <w:szCs w:val="22"/>
        </w:rPr>
        <w:t xml:space="preserve">hatással </w:t>
      </w:r>
      <w:r w:rsidR="005511EF">
        <w:rPr>
          <w:rFonts w:ascii="Calibri" w:hAnsi="Calibri" w:cs="Calibri"/>
          <w:sz w:val="22"/>
          <w:szCs w:val="22"/>
        </w:rPr>
        <w:t>van</w:t>
      </w:r>
      <w:r>
        <w:rPr>
          <w:rFonts w:ascii="Calibri" w:hAnsi="Calibri" w:cs="Calibri"/>
          <w:sz w:val="22"/>
          <w:szCs w:val="22"/>
        </w:rPr>
        <w:t xml:space="preserve"> a </w:t>
      </w:r>
      <w:r w:rsidR="005511EF">
        <w:rPr>
          <w:rFonts w:ascii="Calibri" w:hAnsi="Calibri" w:cs="Calibri"/>
          <w:sz w:val="22"/>
          <w:szCs w:val="22"/>
        </w:rPr>
        <w:t xml:space="preserve">biztosítók termékkínálatára </w:t>
      </w:r>
      <w:r>
        <w:rPr>
          <w:rFonts w:ascii="Calibri" w:hAnsi="Calibri" w:cs="Calibri"/>
          <w:sz w:val="22"/>
          <w:szCs w:val="22"/>
        </w:rPr>
        <w:t>is</w:t>
      </w:r>
      <w:r w:rsidR="00443BF0">
        <w:rPr>
          <w:rFonts w:ascii="Calibri" w:hAnsi="Calibri" w:cs="Calibri"/>
          <w:sz w:val="22"/>
          <w:szCs w:val="22"/>
        </w:rPr>
        <w:t xml:space="preserve">: a </w:t>
      </w:r>
      <w:r w:rsidR="008E02CA">
        <w:rPr>
          <w:rFonts w:ascii="Calibri" w:hAnsi="Calibri" w:cs="Calibri"/>
          <w:sz w:val="22"/>
          <w:szCs w:val="22"/>
        </w:rPr>
        <w:t xml:space="preserve">szolgáltatás-finanszírozó egészségbiztosítások piaca </w:t>
      </w:r>
      <w:r w:rsidR="008E02CA" w:rsidRPr="00F07FBD">
        <w:rPr>
          <w:rFonts w:ascii="Calibri" w:hAnsi="Calibri" w:cs="Calibri"/>
          <w:sz w:val="22"/>
          <w:szCs w:val="22"/>
        </w:rPr>
        <w:t>folyamatosan nő</w:t>
      </w:r>
      <w:r w:rsidR="00443BF0">
        <w:rPr>
          <w:rFonts w:ascii="Calibri" w:hAnsi="Calibri" w:cs="Calibri"/>
          <w:sz w:val="22"/>
          <w:szCs w:val="22"/>
        </w:rPr>
        <w:t xml:space="preserve">. </w:t>
      </w:r>
      <w:r w:rsidR="00B03086" w:rsidRPr="00B03086">
        <w:rPr>
          <w:rFonts w:ascii="Calibri" w:hAnsi="Calibri" w:cs="Calibri"/>
          <w:sz w:val="22"/>
          <w:szCs w:val="22"/>
        </w:rPr>
        <w:t>2021 és 202</w:t>
      </w:r>
      <w:r w:rsidR="00F07FBD">
        <w:rPr>
          <w:rFonts w:ascii="Calibri" w:hAnsi="Calibri" w:cs="Calibri"/>
          <w:sz w:val="22"/>
          <w:szCs w:val="22"/>
        </w:rPr>
        <w:t>4</w:t>
      </w:r>
      <w:r w:rsidR="00B03086" w:rsidRPr="00B03086">
        <w:rPr>
          <w:rFonts w:ascii="Calibri" w:hAnsi="Calibri" w:cs="Calibri"/>
          <w:sz w:val="22"/>
          <w:szCs w:val="22"/>
        </w:rPr>
        <w:t xml:space="preserve"> között a biztosított</w:t>
      </w:r>
      <w:r w:rsidR="00B03086">
        <w:rPr>
          <w:rFonts w:ascii="Calibri" w:hAnsi="Calibri" w:cs="Calibri"/>
          <w:sz w:val="22"/>
          <w:szCs w:val="22"/>
        </w:rPr>
        <w:t>ak</w:t>
      </w:r>
      <w:r w:rsidR="00B03086" w:rsidRPr="00B03086">
        <w:rPr>
          <w:rFonts w:ascii="Calibri" w:hAnsi="Calibri" w:cs="Calibri"/>
          <w:sz w:val="22"/>
          <w:szCs w:val="22"/>
        </w:rPr>
        <w:t xml:space="preserve"> </w:t>
      </w:r>
      <w:r w:rsidR="00B03086">
        <w:rPr>
          <w:rFonts w:ascii="Calibri" w:hAnsi="Calibri" w:cs="Calibri"/>
          <w:sz w:val="22"/>
          <w:szCs w:val="22"/>
        </w:rPr>
        <w:t>száma</w:t>
      </w:r>
      <w:r w:rsidR="00B03086" w:rsidRPr="00B03086">
        <w:rPr>
          <w:rFonts w:ascii="Calibri" w:hAnsi="Calibri" w:cs="Calibri"/>
          <w:sz w:val="22"/>
          <w:szCs w:val="22"/>
        </w:rPr>
        <w:t xml:space="preserve"> </w:t>
      </w:r>
      <w:hyperlink r:id="rId18" w:history="1">
        <w:r w:rsidR="00F07FBD" w:rsidRPr="00F07FBD">
          <w:rPr>
            <w:rStyle w:val="Hyperlink"/>
            <w:rFonts w:ascii="Calibri" w:hAnsi="Calibri" w:cs="Calibri"/>
            <w:sz w:val="22"/>
            <w:szCs w:val="22"/>
          </w:rPr>
          <w:t>24</w:t>
        </w:r>
        <w:r w:rsidR="00B03086" w:rsidRPr="00F07FBD">
          <w:rPr>
            <w:rStyle w:val="Hyperlink"/>
            <w:rFonts w:ascii="Calibri" w:hAnsi="Calibri" w:cs="Calibri"/>
            <w:sz w:val="22"/>
            <w:szCs w:val="22"/>
          </w:rPr>
          <w:t xml:space="preserve"> százalékkal emelkedett</w:t>
        </w:r>
      </w:hyperlink>
      <w:r w:rsidR="00B03086" w:rsidRPr="00B03086">
        <w:rPr>
          <w:rFonts w:ascii="Calibri" w:hAnsi="Calibri" w:cs="Calibri"/>
          <w:sz w:val="22"/>
          <w:szCs w:val="22"/>
        </w:rPr>
        <w:t xml:space="preserve"> és meg</w:t>
      </w:r>
      <w:r w:rsidR="00F07FBD">
        <w:rPr>
          <w:rFonts w:ascii="Calibri" w:hAnsi="Calibri" w:cs="Calibri"/>
          <w:sz w:val="22"/>
          <w:szCs w:val="22"/>
        </w:rPr>
        <w:t>haladta az 1,1 milliót</w:t>
      </w:r>
      <w:r w:rsidR="00B03086" w:rsidRPr="00B03086">
        <w:rPr>
          <w:rFonts w:ascii="Calibri" w:hAnsi="Calibri" w:cs="Calibri"/>
          <w:sz w:val="22"/>
          <w:szCs w:val="22"/>
        </w:rPr>
        <w:t xml:space="preserve">, </w:t>
      </w:r>
      <w:r w:rsidR="00B03086">
        <w:rPr>
          <w:rFonts w:ascii="Calibri" w:hAnsi="Calibri" w:cs="Calibri"/>
          <w:sz w:val="22"/>
          <w:szCs w:val="22"/>
        </w:rPr>
        <w:t xml:space="preserve">a biztosítók kárráfordítása ugyenezen időszakban viszont </w:t>
      </w:r>
      <w:hyperlink r:id="rId19" w:history="1">
        <w:r w:rsidR="00F07FBD" w:rsidRPr="00F07FBD">
          <w:rPr>
            <w:rStyle w:val="Hyperlink"/>
            <w:rFonts w:ascii="Calibri" w:hAnsi="Calibri" w:cs="Calibri"/>
            <w:sz w:val="22"/>
            <w:szCs w:val="22"/>
          </w:rPr>
          <w:t>92</w:t>
        </w:r>
        <w:r w:rsidR="00B03086" w:rsidRPr="00F07FBD">
          <w:rPr>
            <w:rStyle w:val="Hyperlink"/>
            <w:rFonts w:ascii="Calibri" w:hAnsi="Calibri" w:cs="Calibri"/>
            <w:sz w:val="22"/>
            <w:szCs w:val="22"/>
          </w:rPr>
          <w:t xml:space="preserve"> százalékkal</w:t>
        </w:r>
      </w:hyperlink>
      <w:r w:rsidR="00B03086">
        <w:rPr>
          <w:rFonts w:ascii="Calibri" w:hAnsi="Calibri" w:cs="Calibri"/>
          <w:sz w:val="22"/>
          <w:szCs w:val="22"/>
        </w:rPr>
        <w:t xml:space="preserve">, </w:t>
      </w:r>
      <w:r w:rsidR="00F07FBD">
        <w:rPr>
          <w:rFonts w:ascii="Calibri" w:hAnsi="Calibri" w:cs="Calibri"/>
          <w:sz w:val="22"/>
          <w:szCs w:val="22"/>
        </w:rPr>
        <w:t>több mint</w:t>
      </w:r>
      <w:r w:rsidR="00B03086">
        <w:rPr>
          <w:rFonts w:ascii="Calibri" w:hAnsi="Calibri" w:cs="Calibri"/>
          <w:sz w:val="22"/>
          <w:szCs w:val="22"/>
        </w:rPr>
        <w:t xml:space="preserve"> </w:t>
      </w:r>
      <w:r w:rsidR="00F07FBD">
        <w:rPr>
          <w:rFonts w:ascii="Calibri" w:hAnsi="Calibri" w:cs="Calibri"/>
          <w:sz w:val="22"/>
          <w:szCs w:val="22"/>
        </w:rPr>
        <w:t xml:space="preserve">30 </w:t>
      </w:r>
      <w:r w:rsidR="00B03086">
        <w:rPr>
          <w:rFonts w:ascii="Calibri" w:hAnsi="Calibri" w:cs="Calibri"/>
          <w:sz w:val="22"/>
          <w:szCs w:val="22"/>
        </w:rPr>
        <w:t>milliárd forint</w:t>
      </w:r>
      <w:r w:rsidR="00F07FBD">
        <w:rPr>
          <w:rFonts w:ascii="Calibri" w:hAnsi="Calibri" w:cs="Calibri"/>
          <w:sz w:val="22"/>
          <w:szCs w:val="22"/>
        </w:rPr>
        <w:t>ra kúszott fel</w:t>
      </w:r>
      <w:r w:rsidR="00B03086">
        <w:rPr>
          <w:rFonts w:ascii="Calibri" w:hAnsi="Calibri" w:cs="Calibri"/>
          <w:sz w:val="22"/>
          <w:szCs w:val="22"/>
        </w:rPr>
        <w:t xml:space="preserve">. Vagyis a piaci versenyben a biztosítók </w:t>
      </w:r>
      <w:hyperlink r:id="rId20" w:history="1">
        <w:r w:rsidR="00B03086" w:rsidRPr="00F07FBD">
          <w:rPr>
            <w:rStyle w:val="Hyperlink"/>
            <w:rFonts w:ascii="Calibri" w:hAnsi="Calibri" w:cs="Calibri"/>
            <w:sz w:val="22"/>
            <w:szCs w:val="22"/>
          </w:rPr>
          <w:t>egyre nagyobb értékű szolgáltatásokat</w:t>
        </w:r>
      </w:hyperlink>
      <w:r w:rsidR="00B03086">
        <w:rPr>
          <w:rFonts w:ascii="Calibri" w:hAnsi="Calibri" w:cs="Calibri"/>
          <w:sz w:val="22"/>
          <w:szCs w:val="22"/>
        </w:rPr>
        <w:t xml:space="preserve"> kínálnak ügyfeleiknek. Mi</w:t>
      </w:r>
      <w:r>
        <w:rPr>
          <w:rFonts w:ascii="Calibri" w:hAnsi="Calibri" w:cs="Calibri"/>
          <w:sz w:val="22"/>
          <w:szCs w:val="22"/>
        </w:rPr>
        <w:t>közben tehát</w:t>
      </w:r>
      <w:r w:rsidR="00B03086">
        <w:rPr>
          <w:rFonts w:ascii="Calibri" w:hAnsi="Calibri" w:cs="Calibri"/>
          <w:sz w:val="22"/>
          <w:szCs w:val="22"/>
        </w:rPr>
        <w:t xml:space="preserve"> egyre nagyobb </w:t>
      </w:r>
      <w:r>
        <w:rPr>
          <w:rFonts w:ascii="Calibri" w:hAnsi="Calibri" w:cs="Calibri"/>
          <w:sz w:val="22"/>
          <w:szCs w:val="22"/>
        </w:rPr>
        <w:t>a kereslet</w:t>
      </w:r>
      <w:r w:rsidR="00B03086">
        <w:rPr>
          <w:rFonts w:ascii="Calibri" w:hAnsi="Calibri" w:cs="Calibri"/>
          <w:sz w:val="22"/>
          <w:szCs w:val="22"/>
        </w:rPr>
        <w:t xml:space="preserve"> a </w:t>
      </w:r>
      <w:r w:rsidR="00302F51">
        <w:rPr>
          <w:rFonts w:ascii="Calibri" w:hAnsi="Calibri" w:cs="Calibri"/>
          <w:sz w:val="22"/>
          <w:szCs w:val="22"/>
        </w:rPr>
        <w:t xml:space="preserve">hazai </w:t>
      </w:r>
      <w:r w:rsidR="00B03086">
        <w:rPr>
          <w:rFonts w:ascii="Calibri" w:hAnsi="Calibri" w:cs="Calibri"/>
          <w:sz w:val="22"/>
          <w:szCs w:val="22"/>
        </w:rPr>
        <w:t xml:space="preserve">magánegészségügyi szolgáltatások iránt, </w:t>
      </w:r>
      <w:r w:rsidR="008207EF">
        <w:rPr>
          <w:rFonts w:ascii="Calibri" w:hAnsi="Calibri" w:cs="Calibri"/>
          <w:sz w:val="22"/>
          <w:szCs w:val="22"/>
        </w:rPr>
        <w:t>k</w:t>
      </w:r>
      <w:r w:rsidR="00B03086">
        <w:rPr>
          <w:rFonts w:ascii="Calibri" w:hAnsi="Calibri" w:cs="Calibri"/>
          <w:sz w:val="22"/>
          <w:szCs w:val="22"/>
        </w:rPr>
        <w:t xml:space="preserve">ézenfekvő </w:t>
      </w:r>
      <w:r w:rsidR="008207EF">
        <w:rPr>
          <w:rFonts w:ascii="Calibri" w:hAnsi="Calibri" w:cs="Calibri"/>
          <w:sz w:val="22"/>
          <w:szCs w:val="22"/>
        </w:rPr>
        <w:t>következő lépés lehet a külföldi gyógykezelésekre vonatkozó egészségbiztosítások térnyerése.</w:t>
      </w:r>
    </w:p>
    <w:p w14:paraId="11BFB1FE" w14:textId="46E83286" w:rsidR="00443BF0" w:rsidRPr="0001786A" w:rsidRDefault="00443BF0" w:rsidP="00B013C3">
      <w:pPr>
        <w:rPr>
          <w:rFonts w:ascii="Calibri" w:hAnsi="Calibri" w:cs="Calibri"/>
          <w:b/>
          <w:bCs/>
          <w:sz w:val="22"/>
          <w:szCs w:val="22"/>
        </w:rPr>
      </w:pPr>
      <w:r w:rsidRPr="0001786A">
        <w:rPr>
          <w:rFonts w:ascii="Calibri" w:hAnsi="Calibri" w:cs="Calibri"/>
          <w:b/>
          <w:bCs/>
          <w:sz w:val="22"/>
          <w:szCs w:val="22"/>
        </w:rPr>
        <w:t>44% tart daganatos betegségtől</w:t>
      </w:r>
    </w:p>
    <w:p w14:paraId="23F231F3" w14:textId="4FE470A0" w:rsidR="000C7657" w:rsidRDefault="000C7657" w:rsidP="000C7657">
      <w:pPr>
        <w:rPr>
          <w:rFonts w:ascii="Calibri" w:hAnsi="Calibri" w:cs="Calibri"/>
          <w:sz w:val="22"/>
          <w:szCs w:val="22"/>
        </w:rPr>
      </w:pPr>
      <w:r w:rsidRPr="00B013C3">
        <w:rPr>
          <w:rFonts w:ascii="Calibri" w:hAnsi="Calibri" w:cs="Calibri"/>
          <w:sz w:val="22"/>
          <w:szCs w:val="22"/>
        </w:rPr>
        <w:t xml:space="preserve">A </w:t>
      </w:r>
      <w:r>
        <w:rPr>
          <w:rFonts w:ascii="Calibri" w:hAnsi="Calibri" w:cs="Calibri"/>
          <w:sz w:val="22"/>
          <w:szCs w:val="22"/>
        </w:rPr>
        <w:t xml:space="preserve">külföldi gyógykezelések </w:t>
      </w:r>
      <w:r w:rsidRPr="00B013C3">
        <w:rPr>
          <w:rFonts w:ascii="Calibri" w:hAnsi="Calibri" w:cs="Calibri"/>
          <w:sz w:val="22"/>
          <w:szCs w:val="22"/>
        </w:rPr>
        <w:t>tém</w:t>
      </w:r>
      <w:r>
        <w:rPr>
          <w:rFonts w:ascii="Calibri" w:hAnsi="Calibri" w:cs="Calibri"/>
          <w:sz w:val="22"/>
          <w:szCs w:val="22"/>
        </w:rPr>
        <w:t>áj</w:t>
      </w:r>
      <w:r w:rsidRPr="00B013C3">
        <w:rPr>
          <w:rFonts w:ascii="Calibri" w:hAnsi="Calibri" w:cs="Calibri"/>
          <w:sz w:val="22"/>
          <w:szCs w:val="22"/>
        </w:rPr>
        <w:t>a sokakat foglalkoztat, hiszen az NN Biztosító Egészségügyi kutatásából</w:t>
      </w:r>
      <w:r>
        <w:rPr>
          <w:rFonts w:ascii="Calibri" w:hAnsi="Calibri" w:cs="Calibri"/>
          <w:sz w:val="22"/>
          <w:szCs w:val="22"/>
        </w:rPr>
        <w:t xml:space="preserve"> kiderült:</w:t>
      </w:r>
      <w:r w:rsidRPr="00B013C3">
        <w:rPr>
          <w:rFonts w:ascii="Calibri" w:hAnsi="Calibri" w:cs="Calibri"/>
          <w:sz w:val="22"/>
          <w:szCs w:val="22"/>
        </w:rPr>
        <w:t xml:space="preserve"> a 20-64 éves korosztályba tartozók </w:t>
      </w:r>
      <w:r>
        <w:rPr>
          <w:rFonts w:ascii="Calibri" w:hAnsi="Calibri" w:cs="Calibri"/>
          <w:sz w:val="22"/>
          <w:szCs w:val="22"/>
        </w:rPr>
        <w:t xml:space="preserve">döntő </w:t>
      </w:r>
      <w:r w:rsidRPr="00B013C3">
        <w:rPr>
          <w:rFonts w:ascii="Calibri" w:hAnsi="Calibri" w:cs="Calibri"/>
          <w:sz w:val="22"/>
          <w:szCs w:val="22"/>
        </w:rPr>
        <w:t>többsége (81%) tart attól, hogy a következő 10-15 évben valamilyen súlyos betegséggel diagnosztizálják, ezen belül is legtöbben (44%) a daganatos megbetegedésektől félnek leginkább.</w:t>
      </w:r>
      <w:r w:rsidRPr="00B013C3">
        <w:rPr>
          <w:rStyle w:val="FootnoteReference"/>
          <w:rFonts w:ascii="Calibri" w:hAnsi="Calibri" w:cs="Calibri"/>
          <w:sz w:val="22"/>
          <w:szCs w:val="22"/>
        </w:rPr>
        <w:footnoteReference w:id="2"/>
      </w:r>
      <w:r>
        <w:rPr>
          <w:rFonts w:ascii="Calibri" w:hAnsi="Calibri" w:cs="Calibri"/>
          <w:sz w:val="22"/>
          <w:szCs w:val="22"/>
        </w:rPr>
        <w:t xml:space="preserve"> Ugyanakkor a</w:t>
      </w:r>
      <w:r w:rsidRPr="00B013C3">
        <w:rPr>
          <w:rFonts w:ascii="Calibri" w:hAnsi="Calibri" w:cs="Calibri"/>
          <w:sz w:val="22"/>
          <w:szCs w:val="22"/>
        </w:rPr>
        <w:t xml:space="preserve"> világ legismertebb onkológiai </w:t>
      </w:r>
      <w:r w:rsidRPr="00B013C3">
        <w:rPr>
          <w:rFonts w:ascii="Calibri" w:hAnsi="Calibri" w:cs="Calibri"/>
          <w:sz w:val="22"/>
          <w:szCs w:val="22"/>
        </w:rPr>
        <w:lastRenderedPageBreak/>
        <w:t>központjai külföldön találhatók</w:t>
      </w:r>
      <w:r w:rsidR="00F66389">
        <w:rPr>
          <w:rFonts w:ascii="Calibri" w:hAnsi="Calibri" w:cs="Calibri"/>
          <w:sz w:val="22"/>
          <w:szCs w:val="22"/>
        </w:rPr>
        <w:t>, á</w:t>
      </w:r>
      <w:r>
        <w:rPr>
          <w:rFonts w:ascii="Calibri" w:hAnsi="Calibri" w:cs="Calibri"/>
          <w:sz w:val="22"/>
          <w:szCs w:val="22"/>
        </w:rPr>
        <w:t>m</w:t>
      </w:r>
      <w:r w:rsidRPr="00B013C3">
        <w:rPr>
          <w:rFonts w:ascii="Calibri" w:hAnsi="Calibri" w:cs="Calibri"/>
          <w:sz w:val="22"/>
          <w:szCs w:val="22"/>
        </w:rPr>
        <w:t xml:space="preserve"> az ottani gyógykezelés megszervezése nem egyszerű feladat egy magyar páciens számára. Ráadásul külföldön gyógyulni igen költséges lehet, a daganatos betegség kezelésének számlája akár </w:t>
      </w:r>
      <w:hyperlink r:id="rId21" w:history="1">
        <w:r w:rsidRPr="00B013C3">
          <w:rPr>
            <w:rStyle w:val="Hyperlink"/>
            <w:rFonts w:ascii="Calibri" w:hAnsi="Calibri" w:cs="Calibri"/>
            <w:sz w:val="22"/>
            <w:szCs w:val="22"/>
          </w:rPr>
          <w:t>több tízmillió forintra is</w:t>
        </w:r>
      </w:hyperlink>
      <w:r w:rsidRPr="00B013C3">
        <w:rPr>
          <w:rFonts w:ascii="Calibri" w:hAnsi="Calibri" w:cs="Calibri"/>
          <w:sz w:val="22"/>
          <w:szCs w:val="22"/>
        </w:rPr>
        <w:t xml:space="preserve"> rúghat, amit a többség nem engedhet meg magának. </w:t>
      </w:r>
    </w:p>
    <w:p w14:paraId="6B151F33" w14:textId="2ED73EC3" w:rsidR="00B03086" w:rsidRDefault="007659AB" w:rsidP="00B013C3">
      <w:pPr>
        <w:rPr>
          <w:rFonts w:ascii="Calibri" w:hAnsi="Calibri" w:cs="Calibri"/>
          <w:sz w:val="22"/>
          <w:szCs w:val="22"/>
        </w:rPr>
      </w:pPr>
      <w:r w:rsidRPr="00EA6A8D">
        <w:rPr>
          <w:rFonts w:ascii="Calibri" w:hAnsi="Calibri" w:cs="Calibri"/>
          <w:i/>
          <w:iCs/>
          <w:sz w:val="22"/>
          <w:szCs w:val="22"/>
        </w:rPr>
        <w:t>„</w:t>
      </w:r>
      <w:r w:rsidR="00443BF0" w:rsidRPr="00EA6A8D">
        <w:rPr>
          <w:rFonts w:ascii="Calibri" w:hAnsi="Calibri" w:cs="Calibri"/>
          <w:i/>
          <w:iCs/>
          <w:sz w:val="22"/>
          <w:szCs w:val="22"/>
        </w:rPr>
        <w:t>Az aggasztó statisztikákat és az egyre erősödő igényt</w:t>
      </w:r>
      <w:r w:rsidR="000C7657" w:rsidRPr="00EA6A8D">
        <w:rPr>
          <w:rFonts w:ascii="Calibri" w:hAnsi="Calibri" w:cs="Calibri"/>
          <w:i/>
          <w:iCs/>
          <w:sz w:val="22"/>
          <w:szCs w:val="22"/>
        </w:rPr>
        <w:t xml:space="preserve"> </w:t>
      </w:r>
      <w:r w:rsidR="00443BF0" w:rsidRPr="00EA6A8D">
        <w:rPr>
          <w:rFonts w:ascii="Calibri" w:hAnsi="Calibri" w:cs="Calibri"/>
          <w:i/>
          <w:iCs/>
          <w:sz w:val="22"/>
          <w:szCs w:val="22"/>
        </w:rPr>
        <w:t>látva teljesen új egészségbiztosítási terméket indítottunk el</w:t>
      </w:r>
      <w:r w:rsidR="00C815C7" w:rsidRPr="00C72841">
        <w:rPr>
          <w:rFonts w:ascii="Calibri" w:hAnsi="Calibri" w:cs="Calibri"/>
          <w:i/>
          <w:iCs/>
          <w:sz w:val="22"/>
          <w:szCs w:val="22"/>
        </w:rPr>
        <w:t>.</w:t>
      </w:r>
      <w:r w:rsidR="00443BF0" w:rsidRPr="00EA6A8D">
        <w:rPr>
          <w:rFonts w:ascii="Calibri" w:hAnsi="Calibri" w:cs="Calibri"/>
          <w:i/>
          <w:iCs/>
          <w:sz w:val="22"/>
          <w:szCs w:val="22"/>
        </w:rPr>
        <w:t xml:space="preserve"> </w:t>
      </w:r>
      <w:r w:rsidR="00C815C7" w:rsidRPr="00C72841">
        <w:rPr>
          <w:rFonts w:ascii="Calibri" w:hAnsi="Calibri" w:cs="Calibri"/>
          <w:i/>
          <w:iCs/>
          <w:sz w:val="22"/>
          <w:szCs w:val="22"/>
        </w:rPr>
        <w:t xml:space="preserve">Ezzel a külföldi gyógykezelésre szóló szolgáltatásfinanszírozó egészségbiztosításunkkal </w:t>
      </w:r>
      <w:r w:rsidR="00443BF0" w:rsidRPr="00EA6A8D">
        <w:rPr>
          <w:rFonts w:ascii="Calibri" w:hAnsi="Calibri" w:cs="Calibri"/>
          <w:i/>
          <w:iCs/>
          <w:sz w:val="22"/>
          <w:szCs w:val="22"/>
        </w:rPr>
        <w:t xml:space="preserve"> lehetőséget kívánunk nyújtani ügyfeleinkne</w:t>
      </w:r>
      <w:r w:rsidR="00B2451A" w:rsidRPr="00EA6A8D">
        <w:rPr>
          <w:rFonts w:ascii="Calibri" w:hAnsi="Calibri" w:cs="Calibri"/>
          <w:i/>
          <w:iCs/>
          <w:sz w:val="22"/>
          <w:szCs w:val="22"/>
        </w:rPr>
        <w:t xml:space="preserve">k meghatározott </w:t>
      </w:r>
      <w:r w:rsidR="00443BF0" w:rsidRPr="00EA6A8D">
        <w:rPr>
          <w:rFonts w:ascii="Calibri" w:hAnsi="Calibri" w:cs="Calibri"/>
          <w:i/>
          <w:iCs/>
          <w:sz w:val="22"/>
          <w:szCs w:val="22"/>
        </w:rPr>
        <w:t>súlyos betegség</w:t>
      </w:r>
      <w:r w:rsidR="00B2451A" w:rsidRPr="00EA6A8D">
        <w:rPr>
          <w:rFonts w:ascii="Calibri" w:hAnsi="Calibri" w:cs="Calibri"/>
          <w:i/>
          <w:iCs/>
          <w:sz w:val="22"/>
          <w:szCs w:val="22"/>
        </w:rPr>
        <w:t>ek</w:t>
      </w:r>
      <w:r w:rsidR="00443BF0" w:rsidRPr="00EA6A8D">
        <w:rPr>
          <w:rFonts w:ascii="Calibri" w:hAnsi="Calibri" w:cs="Calibri"/>
          <w:i/>
          <w:iCs/>
          <w:sz w:val="22"/>
          <w:szCs w:val="22"/>
        </w:rPr>
        <w:t xml:space="preserve"> </w:t>
      </w:r>
      <w:r w:rsidR="00B2451A" w:rsidRPr="00EA6A8D">
        <w:rPr>
          <w:rFonts w:ascii="Calibri" w:hAnsi="Calibri" w:cs="Calibri"/>
          <w:i/>
          <w:iCs/>
          <w:sz w:val="22"/>
          <w:szCs w:val="22"/>
        </w:rPr>
        <w:t xml:space="preserve">bekövetkezése </w:t>
      </w:r>
      <w:r w:rsidR="00C815C7" w:rsidRPr="00EA6A8D">
        <w:rPr>
          <w:rFonts w:ascii="Calibri" w:hAnsi="Calibri" w:cs="Calibri"/>
          <w:i/>
          <w:iCs/>
          <w:sz w:val="22"/>
          <w:szCs w:val="22"/>
        </w:rPr>
        <w:t>eseté</w:t>
      </w:r>
      <w:r w:rsidR="00C815C7" w:rsidRPr="00C72841">
        <w:rPr>
          <w:rFonts w:ascii="Calibri" w:hAnsi="Calibri" w:cs="Calibri"/>
          <w:i/>
          <w:iCs/>
          <w:sz w:val="22"/>
          <w:szCs w:val="22"/>
        </w:rPr>
        <w:t>re</w:t>
      </w:r>
      <w:r w:rsidR="00B2451A" w:rsidRPr="00EA6A8D">
        <w:rPr>
          <w:rFonts w:ascii="Calibri" w:hAnsi="Calibri" w:cs="Calibri"/>
          <w:i/>
          <w:iCs/>
          <w:sz w:val="22"/>
          <w:szCs w:val="22"/>
        </w:rPr>
        <w:t>, hogy külföldi egészségügyi központban gyógyuljanak</w:t>
      </w:r>
      <w:r w:rsidR="00EA6A8D">
        <w:rPr>
          <w:rFonts w:ascii="Calibri" w:hAnsi="Calibri" w:cs="Calibri"/>
          <w:i/>
          <w:iCs/>
          <w:sz w:val="22"/>
          <w:szCs w:val="22"/>
        </w:rPr>
        <w:t>, legyen szó</w:t>
      </w:r>
      <w:r w:rsidR="00C815C7" w:rsidRPr="00C72841">
        <w:rPr>
          <w:rFonts w:ascii="Calibri" w:hAnsi="Calibri" w:cs="Calibri"/>
          <w:i/>
          <w:iCs/>
          <w:sz w:val="22"/>
          <w:szCs w:val="22"/>
        </w:rPr>
        <w:t xml:space="preserve"> rosszindulatú daganatos betegség kórházi kezelésér</w:t>
      </w:r>
      <w:r w:rsidR="00EA6A8D">
        <w:rPr>
          <w:rFonts w:ascii="Calibri" w:hAnsi="Calibri" w:cs="Calibri"/>
          <w:i/>
          <w:iCs/>
          <w:sz w:val="22"/>
          <w:szCs w:val="22"/>
        </w:rPr>
        <w:t>ől</w:t>
      </w:r>
      <w:r w:rsidR="00C815C7" w:rsidRPr="00C72841">
        <w:rPr>
          <w:rFonts w:ascii="Calibri" w:hAnsi="Calibri" w:cs="Calibri"/>
          <w:i/>
          <w:iCs/>
          <w:sz w:val="22"/>
          <w:szCs w:val="22"/>
        </w:rPr>
        <w:t>, szívműtétr</w:t>
      </w:r>
      <w:r w:rsidR="00EA6A8D">
        <w:rPr>
          <w:rFonts w:ascii="Calibri" w:hAnsi="Calibri" w:cs="Calibri"/>
          <w:i/>
          <w:iCs/>
          <w:sz w:val="22"/>
          <w:szCs w:val="22"/>
        </w:rPr>
        <w:t>ől</w:t>
      </w:r>
      <w:r w:rsidR="00C815C7" w:rsidRPr="00C72841">
        <w:rPr>
          <w:rFonts w:ascii="Calibri" w:hAnsi="Calibri" w:cs="Calibri"/>
          <w:i/>
          <w:iCs/>
          <w:sz w:val="22"/>
          <w:szCs w:val="22"/>
        </w:rPr>
        <w:t>, idegsebészeti műtétr</w:t>
      </w:r>
      <w:r w:rsidR="00EA6A8D">
        <w:rPr>
          <w:rFonts w:ascii="Calibri" w:hAnsi="Calibri" w:cs="Calibri"/>
          <w:i/>
          <w:iCs/>
          <w:sz w:val="22"/>
          <w:szCs w:val="22"/>
        </w:rPr>
        <w:t>ől</w:t>
      </w:r>
      <w:r w:rsidR="00C815C7" w:rsidRPr="00C72841">
        <w:rPr>
          <w:rFonts w:ascii="Calibri" w:hAnsi="Calibri" w:cs="Calibri"/>
          <w:i/>
          <w:iCs/>
          <w:sz w:val="22"/>
          <w:szCs w:val="22"/>
        </w:rPr>
        <w:t xml:space="preserve"> vagy épp szervátültetésr</w:t>
      </w:r>
      <w:r w:rsidR="00EA6A8D">
        <w:rPr>
          <w:rFonts w:ascii="Calibri" w:hAnsi="Calibri" w:cs="Calibri"/>
          <w:i/>
          <w:iCs/>
          <w:sz w:val="22"/>
          <w:szCs w:val="22"/>
        </w:rPr>
        <w:t>ől</w:t>
      </w:r>
      <w:r w:rsidRPr="00EA6A8D">
        <w:rPr>
          <w:rFonts w:ascii="Calibri" w:hAnsi="Calibri" w:cs="Calibri"/>
          <w:i/>
          <w:iCs/>
          <w:sz w:val="22"/>
          <w:szCs w:val="22"/>
        </w:rPr>
        <w:t>”</w:t>
      </w:r>
      <w:r w:rsidRPr="00EA6A8D">
        <w:rPr>
          <w:rFonts w:ascii="Calibri" w:hAnsi="Calibri" w:cs="Calibri"/>
          <w:sz w:val="22"/>
          <w:szCs w:val="22"/>
        </w:rPr>
        <w:t xml:space="preserve"> –</w:t>
      </w:r>
      <w:r>
        <w:rPr>
          <w:rFonts w:ascii="Calibri" w:hAnsi="Calibri" w:cs="Calibri"/>
          <w:sz w:val="22"/>
          <w:szCs w:val="22"/>
        </w:rPr>
        <w:t xml:space="preserve"> jelentette be </w:t>
      </w:r>
      <w:r w:rsidRPr="007659AB">
        <w:rPr>
          <w:rFonts w:ascii="Calibri" w:hAnsi="Calibri" w:cs="Calibri"/>
          <w:sz w:val="22"/>
          <w:szCs w:val="22"/>
        </w:rPr>
        <w:t>Holló Bence, az NN Biztosító elnök-vezérigazgatója</w:t>
      </w:r>
      <w:r>
        <w:rPr>
          <w:rFonts w:ascii="Calibri" w:hAnsi="Calibri" w:cs="Calibri"/>
          <w:sz w:val="22"/>
          <w:szCs w:val="22"/>
        </w:rPr>
        <w:t>.</w:t>
      </w:r>
    </w:p>
    <w:p w14:paraId="118ED721" w14:textId="77777777" w:rsidR="00934E96" w:rsidRPr="0001786A" w:rsidRDefault="00934E96" w:rsidP="00934E96">
      <w:pPr>
        <w:rPr>
          <w:rFonts w:ascii="Calibri" w:hAnsi="Calibri" w:cs="Calibri"/>
          <w:sz w:val="22"/>
          <w:szCs w:val="22"/>
        </w:rPr>
      </w:pPr>
      <w:r w:rsidRPr="0001786A">
        <w:rPr>
          <w:rFonts w:ascii="Calibri" w:hAnsi="Calibri" w:cs="Calibri"/>
          <w:sz w:val="22"/>
          <w:szCs w:val="22"/>
        </w:rPr>
        <w:t>A külföldi gyógykezelés megszervezésére és finanszírozására 2 millió euró összeglimit áll a biztosított rendelkezésére a meghatározott szolgáltatások költségének térítésére.</w:t>
      </w:r>
    </w:p>
    <w:p w14:paraId="1D612649" w14:textId="04B4447F" w:rsidR="00302F51" w:rsidRPr="005511EF" w:rsidRDefault="00302F51" w:rsidP="00302F51">
      <w:pPr>
        <w:rPr>
          <w:rFonts w:ascii="Calibri" w:hAnsi="Calibri" w:cs="Calibri"/>
          <w:sz w:val="22"/>
          <w:szCs w:val="22"/>
        </w:rPr>
      </w:pPr>
      <w:r>
        <w:rPr>
          <w:rFonts w:ascii="Calibri" w:hAnsi="Calibri" w:cs="Calibri"/>
          <w:sz w:val="22"/>
          <w:szCs w:val="22"/>
        </w:rPr>
        <w:t>Emellett</w:t>
      </w:r>
      <w:r w:rsidRPr="005511EF">
        <w:rPr>
          <w:rFonts w:ascii="Calibri" w:hAnsi="Calibri" w:cs="Calibri"/>
          <w:sz w:val="22"/>
          <w:szCs w:val="22"/>
        </w:rPr>
        <w:t xml:space="preserve"> leveszi a szervezési és adminisztratív terheket is a biztosított válláról, magában foglalja az utazás és szállás megszervezését, ezek biztosítási feltételekben meghatározott költségeit, sőt</w:t>
      </w:r>
      <w:r w:rsidR="001323C4">
        <w:rPr>
          <w:rFonts w:ascii="Calibri" w:hAnsi="Calibri" w:cs="Calibri"/>
          <w:sz w:val="22"/>
          <w:szCs w:val="22"/>
        </w:rPr>
        <w:t>,</w:t>
      </w:r>
      <w:r w:rsidRPr="005511EF">
        <w:rPr>
          <w:rFonts w:ascii="Calibri" w:hAnsi="Calibri" w:cs="Calibri"/>
          <w:sz w:val="22"/>
          <w:szCs w:val="22"/>
        </w:rPr>
        <w:t xml:space="preserve"> a nyelvtudás hiánya sem lehet akadálya a gyógyulásnak</w:t>
      </w:r>
      <w:r w:rsidR="00934E96">
        <w:rPr>
          <w:rFonts w:ascii="Calibri" w:hAnsi="Calibri" w:cs="Calibri"/>
          <w:sz w:val="22"/>
          <w:szCs w:val="22"/>
        </w:rPr>
        <w:t>.</w:t>
      </w:r>
      <w:r w:rsidRPr="005511EF">
        <w:rPr>
          <w:rFonts w:ascii="Calibri" w:hAnsi="Calibri" w:cs="Calibri"/>
          <w:sz w:val="22"/>
          <w:szCs w:val="22"/>
        </w:rPr>
        <w:t xml:space="preserve"> Tudjuk, hogy a gyógyulás szempontjából mennyire fontos a lelki erőnlét, a család, a szeretteink közelsége és támogatása. Ezt tekintetbe véve a biztosítás fedezi egy kísérő utazását és </w:t>
      </w:r>
      <w:r w:rsidR="00EA6A8D">
        <w:rPr>
          <w:rFonts w:ascii="Calibri" w:hAnsi="Calibri" w:cs="Calibri"/>
          <w:sz w:val="22"/>
          <w:szCs w:val="22"/>
        </w:rPr>
        <w:t>szállás</w:t>
      </w:r>
      <w:r w:rsidRPr="005511EF">
        <w:rPr>
          <w:rFonts w:ascii="Calibri" w:hAnsi="Calibri" w:cs="Calibri"/>
          <w:sz w:val="22"/>
          <w:szCs w:val="22"/>
        </w:rPr>
        <w:t>költségeit is, így a páciens nem lesz egyedül a külföldi kezelés idejére.</w:t>
      </w:r>
      <w:r>
        <w:rPr>
          <w:rFonts w:ascii="Calibri" w:hAnsi="Calibri" w:cs="Calibri"/>
          <w:sz w:val="22"/>
          <w:szCs w:val="22"/>
        </w:rPr>
        <w:t xml:space="preserve"> </w:t>
      </w:r>
      <w:r w:rsidRPr="00302F51">
        <w:rPr>
          <w:rFonts w:ascii="Calibri" w:hAnsi="Calibri" w:cs="Calibri"/>
          <w:sz w:val="22"/>
          <w:szCs w:val="22"/>
        </w:rPr>
        <w:t>A biztosítás egyes rosszindulatú daganatos megbetegedések, szívműtétek, idegsebészeti műtétek, továbbá élődonoros szervátültetés szükségessége esetén vehető igénybe.</w:t>
      </w:r>
    </w:p>
    <w:p w14:paraId="533E021D" w14:textId="3CFF5B20" w:rsidR="005511EF" w:rsidRDefault="005511EF" w:rsidP="005511EF">
      <w:pPr>
        <w:rPr>
          <w:rFonts w:ascii="Calibri" w:hAnsi="Calibri" w:cs="Calibri"/>
          <w:sz w:val="22"/>
          <w:szCs w:val="22"/>
        </w:rPr>
      </w:pPr>
      <w:r w:rsidRPr="005511EF">
        <w:rPr>
          <w:rFonts w:ascii="Calibri" w:hAnsi="Calibri" w:cs="Calibri"/>
          <w:sz w:val="22"/>
          <w:szCs w:val="22"/>
        </w:rPr>
        <w:t xml:space="preserve">A biztosítás további különlegessége, hogy meghatározott rosszindulatú daganatos betegségeknél, valamint egyéb feltételek teljesülése esetén lehetőség van az úgynevezett molekuláris profilalkotás elvégzésére is. Ez az úgynevezett </w:t>
      </w:r>
      <w:r w:rsidR="00934E96">
        <w:rPr>
          <w:rFonts w:ascii="Calibri" w:hAnsi="Calibri" w:cs="Calibri"/>
          <w:sz w:val="22"/>
          <w:szCs w:val="22"/>
        </w:rPr>
        <w:t>P</w:t>
      </w:r>
      <w:r w:rsidRPr="005511EF">
        <w:rPr>
          <w:rFonts w:ascii="Calibri" w:hAnsi="Calibri" w:cs="Calibri"/>
          <w:sz w:val="22"/>
          <w:szCs w:val="22"/>
        </w:rPr>
        <w:t>recíziós medicina a tudomány egyik legújabb és legmodernebb területe. Ezesetben a hagyományos, mindenki számára egyformán alkalmazható terápiákkal ellentétben olyan, a genetikai profil alapján személyre szabott kezelési tervet kaphat a biztosított, amellyel akár elkerülhetővé válhatnak a felesleges kezelések és azok mellékhatásai. </w:t>
      </w:r>
    </w:p>
    <w:p w14:paraId="03274010" w14:textId="057C19A8" w:rsidR="008207EF" w:rsidRPr="0028431F" w:rsidRDefault="003726E3" w:rsidP="005511EF">
      <w:pPr>
        <w:rPr>
          <w:i/>
          <w:iCs/>
          <w:sz w:val="22"/>
          <w:szCs w:val="22"/>
        </w:rPr>
      </w:pPr>
      <w:r w:rsidRPr="005511EF">
        <w:rPr>
          <w:rFonts w:ascii="Calibri" w:hAnsi="Calibri" w:cs="Calibri"/>
          <w:sz w:val="22"/>
          <w:szCs w:val="22"/>
        </w:rPr>
        <w:br/>
      </w:r>
      <w:r w:rsidR="008207EF" w:rsidRPr="00564289">
        <w:rPr>
          <w:rFonts w:ascii="Helvetica" w:eastAsia="Times New Roman" w:hAnsi="Helvetica"/>
          <w:color w:val="414141"/>
          <w:sz w:val="16"/>
          <w:szCs w:val="16"/>
        </w:rPr>
        <w:t xml:space="preserve">Jelen </w:t>
      </w:r>
      <w:r w:rsidR="008207EF">
        <w:rPr>
          <w:rFonts w:ascii="Helvetica" w:eastAsia="Times New Roman" w:hAnsi="Helvetica"/>
          <w:color w:val="414141"/>
          <w:sz w:val="16"/>
          <w:szCs w:val="16"/>
        </w:rPr>
        <w:t xml:space="preserve">sajtóközleményben szereplő tájékoztatás </w:t>
      </w:r>
      <w:r w:rsidR="008207EF" w:rsidRPr="00564289">
        <w:rPr>
          <w:rFonts w:ascii="Helvetica" w:eastAsia="Times New Roman" w:hAnsi="Helvetica"/>
          <w:color w:val="414141"/>
          <w:sz w:val="16"/>
          <w:szCs w:val="16"/>
        </w:rPr>
        <w:t xml:space="preserve">nem </w:t>
      </w:r>
      <w:r w:rsidR="008207EF">
        <w:rPr>
          <w:rFonts w:ascii="Helvetica" w:eastAsia="Times New Roman" w:hAnsi="Helvetica"/>
          <w:color w:val="414141"/>
          <w:sz w:val="16"/>
          <w:szCs w:val="16"/>
        </w:rPr>
        <w:t xml:space="preserve">teljeskörű, nem </w:t>
      </w:r>
      <w:r w:rsidR="008207EF" w:rsidRPr="00564289">
        <w:rPr>
          <w:rFonts w:ascii="Helvetica" w:eastAsia="Times New Roman" w:hAnsi="Helvetica"/>
          <w:color w:val="414141"/>
          <w:sz w:val="16"/>
          <w:szCs w:val="16"/>
        </w:rPr>
        <w:t>minősül ajánlattételnek, és nem helyettesíti a termékre vonatkozó szerződési feltételeket.</w:t>
      </w:r>
      <w:r w:rsidR="008207EF">
        <w:rPr>
          <w:rFonts w:ascii="Helvetica" w:eastAsia="Times New Roman" w:hAnsi="Helvetica"/>
          <w:color w:val="414141"/>
          <w:sz w:val="16"/>
          <w:szCs w:val="16"/>
        </w:rPr>
        <w:t xml:space="preserve"> </w:t>
      </w:r>
      <w:r w:rsidR="00934E96" w:rsidRPr="00564289">
        <w:rPr>
          <w:rFonts w:ascii="Helvetica" w:eastAsia="Times New Roman" w:hAnsi="Helvetica"/>
          <w:color w:val="414141"/>
          <w:sz w:val="16"/>
          <w:szCs w:val="16"/>
        </w:rPr>
        <w:t xml:space="preserve">Döntése meghozatala előtt mindenképpen tájékozódjon, alaposan olvassa át, ismerje meg a termékhez kapcsolódó dokumentumokat, a szerződési feltételeket, így többek között </w:t>
      </w:r>
      <w:r w:rsidR="00934E96">
        <w:rPr>
          <w:rFonts w:ascii="Helvetica" w:eastAsia="Times New Roman" w:hAnsi="Helvetica"/>
          <w:color w:val="414141"/>
          <w:sz w:val="16"/>
          <w:szCs w:val="16"/>
        </w:rPr>
        <w:t xml:space="preserve">a </w:t>
      </w:r>
      <w:r w:rsidR="00934E96" w:rsidRPr="0090551F">
        <w:rPr>
          <w:rFonts w:ascii="Helvetica" w:eastAsia="Times New Roman" w:hAnsi="Helvetica"/>
          <w:color w:val="414141"/>
          <w:sz w:val="16"/>
          <w:szCs w:val="16"/>
        </w:rPr>
        <w:t xml:space="preserve">Szolgáltatásfinanszírozó egészségbiztosítás külföldi </w:t>
      </w:r>
      <w:r w:rsidR="00934E96">
        <w:rPr>
          <w:rFonts w:ascii="Helvetica" w:eastAsia="Times New Roman" w:hAnsi="Helvetica"/>
          <w:color w:val="414141"/>
          <w:sz w:val="16"/>
          <w:szCs w:val="16"/>
        </w:rPr>
        <w:t>g</w:t>
      </w:r>
      <w:r w:rsidR="00934E96" w:rsidRPr="0090551F">
        <w:rPr>
          <w:rFonts w:ascii="Helvetica" w:eastAsia="Times New Roman" w:hAnsi="Helvetica"/>
          <w:color w:val="414141"/>
          <w:sz w:val="16"/>
          <w:szCs w:val="16"/>
        </w:rPr>
        <w:t>yógykezelésre Általános és Különös Biztosítási Feltételei</w:t>
      </w:r>
      <w:r w:rsidR="00934E96">
        <w:rPr>
          <w:rFonts w:ascii="Helvetica" w:eastAsia="Times New Roman" w:hAnsi="Helvetica"/>
          <w:color w:val="414141"/>
          <w:sz w:val="16"/>
          <w:szCs w:val="16"/>
        </w:rPr>
        <w:t xml:space="preserve">t és a kapcsolódó </w:t>
      </w:r>
      <w:r w:rsidR="00934E96" w:rsidRPr="00564289">
        <w:rPr>
          <w:rFonts w:ascii="Helvetica" w:eastAsia="Times New Roman" w:hAnsi="Helvetica"/>
          <w:color w:val="414141"/>
          <w:sz w:val="16"/>
          <w:szCs w:val="16"/>
        </w:rPr>
        <w:t>dokumentumo</w:t>
      </w:r>
      <w:r w:rsidR="00934E96">
        <w:rPr>
          <w:rFonts w:ascii="Helvetica" w:eastAsia="Times New Roman" w:hAnsi="Helvetica"/>
          <w:color w:val="414141"/>
          <w:sz w:val="16"/>
          <w:szCs w:val="16"/>
        </w:rPr>
        <w:t>ka</w:t>
      </w:r>
      <w:r w:rsidR="00934E96" w:rsidRPr="00564289">
        <w:rPr>
          <w:rFonts w:ascii="Helvetica" w:eastAsia="Times New Roman" w:hAnsi="Helvetica"/>
          <w:color w:val="414141"/>
          <w:sz w:val="16"/>
          <w:szCs w:val="16"/>
        </w:rPr>
        <w:t xml:space="preserve">t. </w:t>
      </w:r>
      <w:r w:rsidR="008207EF">
        <w:rPr>
          <w:rFonts w:ascii="Helvetica" w:eastAsia="Times New Roman" w:hAnsi="Helvetica"/>
          <w:color w:val="414141"/>
          <w:sz w:val="16"/>
          <w:szCs w:val="16"/>
        </w:rPr>
        <w:t xml:space="preserve">További információ </w:t>
      </w:r>
      <w:r w:rsidR="008207EF" w:rsidRPr="00564289">
        <w:rPr>
          <w:rFonts w:ascii="Helvetica" w:eastAsia="Times New Roman" w:hAnsi="Helvetica"/>
          <w:color w:val="414141"/>
          <w:sz w:val="16"/>
          <w:szCs w:val="16"/>
        </w:rPr>
        <w:t xml:space="preserve">az NN Biztosító </w:t>
      </w:r>
      <w:hyperlink r:id="rId22" w:history="1">
        <w:r w:rsidR="008207EF" w:rsidRPr="004313B7">
          <w:rPr>
            <w:rStyle w:val="Hyperlink"/>
            <w:rFonts w:ascii="Helvetica" w:eastAsia="Times New Roman" w:hAnsi="Helvetica"/>
            <w:sz w:val="16"/>
            <w:szCs w:val="16"/>
          </w:rPr>
          <w:t>honlapj</w:t>
        </w:r>
        <w:r w:rsidR="008207EF">
          <w:rPr>
            <w:rStyle w:val="Hyperlink"/>
            <w:rFonts w:ascii="Helvetica" w:eastAsia="Times New Roman" w:hAnsi="Helvetica"/>
            <w:sz w:val="16"/>
            <w:szCs w:val="16"/>
          </w:rPr>
          <w:t>á</w:t>
        </w:r>
        <w:r w:rsidR="008207EF" w:rsidRPr="004313B7">
          <w:rPr>
            <w:rStyle w:val="Hyperlink"/>
            <w:rFonts w:ascii="Helvetica" w:eastAsia="Times New Roman" w:hAnsi="Helvetica"/>
            <w:sz w:val="16"/>
            <w:szCs w:val="16"/>
          </w:rPr>
          <w:t xml:space="preserve">n </w:t>
        </w:r>
        <w:r w:rsidR="008207EF">
          <w:rPr>
            <w:rStyle w:val="Hyperlink"/>
            <w:rFonts w:ascii="Helvetica" w:eastAsia="Times New Roman" w:hAnsi="Helvetica"/>
            <w:sz w:val="16"/>
            <w:szCs w:val="16"/>
          </w:rPr>
          <w:t>található</w:t>
        </w:r>
      </w:hyperlink>
      <w:r w:rsidR="008207EF">
        <w:rPr>
          <w:rFonts w:ascii="Helvetica" w:eastAsia="Times New Roman" w:hAnsi="Helvetica"/>
          <w:color w:val="414141"/>
          <w:sz w:val="16"/>
          <w:szCs w:val="16"/>
        </w:rPr>
        <w:t>.</w:t>
      </w:r>
    </w:p>
    <w:p w14:paraId="6AE4FCA5" w14:textId="13D154A5" w:rsidR="00D34EFC" w:rsidRPr="003726E3" w:rsidRDefault="00D34EFC" w:rsidP="00FD2049">
      <w:pPr>
        <w:rPr>
          <w:rFonts w:ascii="Calibri" w:hAnsi="Calibri" w:cs="Calibri"/>
          <w:sz w:val="18"/>
          <w:szCs w:val="18"/>
        </w:rPr>
      </w:pPr>
    </w:p>
    <w:p w14:paraId="4D78114C" w14:textId="77777777" w:rsidR="00D73562" w:rsidRDefault="00D73562">
      <w:pPr>
        <w:rPr>
          <w:rFonts w:ascii="Calibri" w:hAnsi="Calibri" w:cs="Calibri"/>
          <w:b/>
          <w:bCs/>
          <w:sz w:val="22"/>
          <w:szCs w:val="22"/>
        </w:rPr>
      </w:pPr>
    </w:p>
    <w:p w14:paraId="17220006" w14:textId="77777777" w:rsidR="0090122A" w:rsidRDefault="0090122A" w:rsidP="0090122A">
      <w:pPr>
        <w:spacing w:after="0" w:line="240" w:lineRule="auto"/>
        <w:rPr>
          <w:rFonts w:ascii="Calibri" w:hAnsi="Calibri" w:cs="Calibri"/>
          <w:kern w:val="0"/>
          <w:sz w:val="22"/>
          <w:szCs w:val="22"/>
        </w:rPr>
      </w:pPr>
      <w:r w:rsidRPr="003A20E0">
        <w:rPr>
          <w:rFonts w:ascii="Calibri" w:hAnsi="Calibri" w:cs="Calibri"/>
          <w:kern w:val="0"/>
          <w:sz w:val="22"/>
          <w:szCs w:val="22"/>
        </w:rPr>
        <w:lastRenderedPageBreak/>
        <w:t>Sárvári Marcell  </w:t>
      </w:r>
      <w:r w:rsidRPr="003A20E0">
        <w:rPr>
          <w:rFonts w:ascii="Calibri" w:hAnsi="Calibri" w:cs="Calibri"/>
          <w:kern w:val="0"/>
          <w:sz w:val="22"/>
          <w:szCs w:val="22"/>
        </w:rPr>
        <w:br/>
        <w:t>+36 (20) 467 2816; </w:t>
      </w:r>
    </w:p>
    <w:p w14:paraId="0E67B635" w14:textId="77777777" w:rsidR="0090122A" w:rsidRDefault="0090122A" w:rsidP="0090122A">
      <w:pPr>
        <w:spacing w:after="0" w:line="240" w:lineRule="auto"/>
        <w:rPr>
          <w:rFonts w:ascii="Calibri" w:hAnsi="Calibri" w:cs="Calibri"/>
          <w:kern w:val="0"/>
          <w:sz w:val="22"/>
          <w:szCs w:val="22"/>
        </w:rPr>
      </w:pPr>
      <w:hyperlink r:id="rId23" w:history="1">
        <w:r w:rsidRPr="00A148D4">
          <w:rPr>
            <w:rStyle w:val="Hyperlink"/>
            <w:rFonts w:ascii="Calibri" w:hAnsi="Calibri" w:cs="Calibri"/>
            <w:kern w:val="0"/>
            <w:sz w:val="22"/>
            <w:szCs w:val="22"/>
          </w:rPr>
          <w:t>sarvari.marcell@nn.hu</w:t>
        </w:r>
      </w:hyperlink>
    </w:p>
    <w:p w14:paraId="3BC5C26E" w14:textId="77777777" w:rsidR="0090122A" w:rsidRPr="003A20E0" w:rsidRDefault="0090122A" w:rsidP="0090122A">
      <w:pPr>
        <w:spacing w:after="0" w:line="240" w:lineRule="auto"/>
        <w:rPr>
          <w:rFonts w:ascii="Calibri" w:hAnsi="Calibri" w:cs="Calibri"/>
          <w:kern w:val="0"/>
          <w:sz w:val="22"/>
          <w:szCs w:val="22"/>
        </w:rPr>
      </w:pPr>
      <w:r w:rsidRPr="003A20E0">
        <w:rPr>
          <w:rFonts w:ascii="Calibri" w:hAnsi="Calibri" w:cs="Calibri"/>
          <w:kern w:val="0"/>
          <w:sz w:val="22"/>
          <w:szCs w:val="22"/>
        </w:rPr>
        <w:t> </w:t>
      </w:r>
    </w:p>
    <w:p w14:paraId="2CC0D220" w14:textId="77777777" w:rsidR="0090122A" w:rsidRPr="00AE46C6" w:rsidRDefault="0090122A" w:rsidP="0090122A">
      <w:pPr>
        <w:spacing w:after="0" w:line="240" w:lineRule="auto"/>
        <w:rPr>
          <w:rFonts w:ascii="Calibri" w:hAnsi="Calibri" w:cs="Calibri"/>
          <w:kern w:val="0"/>
          <w:sz w:val="20"/>
          <w:szCs w:val="20"/>
        </w:rPr>
      </w:pPr>
      <w:r w:rsidRPr="00AE46C6">
        <w:rPr>
          <w:rFonts w:ascii="Calibri" w:hAnsi="Calibri" w:cs="Calibri"/>
          <w:kern w:val="0"/>
          <w:sz w:val="20"/>
          <w:szCs w:val="20"/>
        </w:rPr>
        <w:t>*** </w:t>
      </w:r>
    </w:p>
    <w:p w14:paraId="7C49D922" w14:textId="77777777" w:rsidR="0090122A" w:rsidRPr="00AE46C6" w:rsidRDefault="0090122A" w:rsidP="0090122A">
      <w:pPr>
        <w:spacing w:after="0" w:line="240" w:lineRule="auto"/>
        <w:rPr>
          <w:rFonts w:ascii="Calibri" w:hAnsi="Calibri" w:cs="Calibri"/>
          <w:kern w:val="0"/>
          <w:sz w:val="20"/>
          <w:szCs w:val="20"/>
        </w:rPr>
      </w:pPr>
      <w:r w:rsidRPr="00AE46C6">
        <w:rPr>
          <w:rFonts w:ascii="Calibri" w:hAnsi="Calibri" w:cs="Calibri"/>
          <w:kern w:val="0"/>
          <w:sz w:val="20"/>
          <w:szCs w:val="20"/>
        </w:rPr>
        <w:t>NN Biztosító Zrt. </w:t>
      </w:r>
    </w:p>
    <w:p w14:paraId="381BE071" w14:textId="77777777" w:rsidR="0090122A" w:rsidRPr="00AE46C6" w:rsidRDefault="0090122A" w:rsidP="0090122A">
      <w:pPr>
        <w:spacing w:after="0" w:line="240" w:lineRule="auto"/>
        <w:rPr>
          <w:rFonts w:ascii="Calibri" w:hAnsi="Calibri" w:cs="Calibri"/>
          <w:kern w:val="0"/>
          <w:sz w:val="20"/>
          <w:szCs w:val="20"/>
        </w:rPr>
      </w:pPr>
      <w:r w:rsidRPr="00AE46C6">
        <w:rPr>
          <w:rFonts w:ascii="Calibri" w:hAnsi="Calibri" w:cs="Calibri"/>
          <w:kern w:val="0"/>
          <w:sz w:val="20"/>
          <w:szCs w:val="20"/>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 </w:t>
      </w:r>
    </w:p>
    <w:p w14:paraId="207E28E4" w14:textId="77777777" w:rsidR="0090122A" w:rsidRPr="00AE46C6" w:rsidRDefault="0090122A" w:rsidP="0090122A">
      <w:pPr>
        <w:spacing w:after="0" w:line="240" w:lineRule="auto"/>
        <w:rPr>
          <w:rFonts w:ascii="Calibri" w:hAnsi="Calibri" w:cs="Calibri"/>
          <w:kern w:val="0"/>
          <w:sz w:val="20"/>
          <w:szCs w:val="20"/>
        </w:rPr>
      </w:pPr>
      <w:r w:rsidRPr="00AE46C6">
        <w:rPr>
          <w:rFonts w:ascii="Calibri" w:hAnsi="Calibri" w:cs="Calibri"/>
          <w:kern w:val="0"/>
          <w:sz w:val="20"/>
          <w:szCs w:val="20"/>
        </w:rPr>
        <w:t>Az NN Biztosító Zrt. az NN Group NV. nyilvánosan jegyzett részvénytársaság tagja, amely világszerte 11 országban kínál pénzügyi szolgáltatásokat Európától Japánig egyaránt a piac egyik vezető szereplőjeként. Munkatársaival a cégcsoport nyugdíj-, biztosítási, banki és befektetési szolgáltatásokat nyújt mintegy 19 millió ügyfelének. Az NN Csoport magába foglalja a Nationale-Nederlanden, NN, ABN AMRO Insurance, Movir, AZL, BeFrank, OHRA és Woonnu cégeket. </w:t>
      </w:r>
    </w:p>
    <w:p w14:paraId="22F38481" w14:textId="77777777" w:rsidR="0090122A" w:rsidRPr="003A20E0" w:rsidRDefault="0090122A" w:rsidP="0090122A">
      <w:pPr>
        <w:spacing w:after="0" w:line="240" w:lineRule="auto"/>
        <w:rPr>
          <w:rFonts w:ascii="Calibri" w:hAnsi="Calibri" w:cs="Calibri"/>
          <w:kern w:val="0"/>
          <w:sz w:val="22"/>
          <w:szCs w:val="22"/>
        </w:rPr>
      </w:pPr>
    </w:p>
    <w:p w14:paraId="7B2E559A" w14:textId="77777777" w:rsidR="0090122A" w:rsidRPr="00F036FB" w:rsidRDefault="0090122A">
      <w:pPr>
        <w:rPr>
          <w:rFonts w:ascii="Calibri" w:hAnsi="Calibri" w:cs="Calibri"/>
          <w:i/>
          <w:iCs/>
          <w:sz w:val="22"/>
          <w:szCs w:val="22"/>
        </w:rPr>
      </w:pPr>
    </w:p>
    <w:sectPr w:rsidR="0090122A" w:rsidRPr="00F036FB">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F2246" w14:textId="77777777" w:rsidR="00011459" w:rsidRDefault="00011459" w:rsidP="0087650C">
      <w:pPr>
        <w:spacing w:after="0" w:line="240" w:lineRule="auto"/>
      </w:pPr>
      <w:r>
        <w:separator/>
      </w:r>
    </w:p>
  </w:endnote>
  <w:endnote w:type="continuationSeparator" w:id="0">
    <w:p w14:paraId="5B8D4C7B" w14:textId="77777777" w:rsidR="00011459" w:rsidRDefault="00011459" w:rsidP="00876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341421"/>
      <w:docPartObj>
        <w:docPartGallery w:val="Page Numbers (Bottom of Page)"/>
        <w:docPartUnique/>
      </w:docPartObj>
    </w:sdtPr>
    <w:sdtEndPr>
      <w:rPr>
        <w:noProof/>
      </w:rPr>
    </w:sdtEndPr>
    <w:sdtContent>
      <w:p w14:paraId="1B157450" w14:textId="24998DE4" w:rsidR="00AE46C6" w:rsidRDefault="00AE46C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22F77C" w14:textId="77777777" w:rsidR="00AE46C6" w:rsidRDefault="00AE46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BB84A" w14:textId="77777777" w:rsidR="00011459" w:rsidRDefault="00011459" w:rsidP="0087650C">
      <w:pPr>
        <w:spacing w:after="0" w:line="240" w:lineRule="auto"/>
      </w:pPr>
      <w:r>
        <w:separator/>
      </w:r>
    </w:p>
  </w:footnote>
  <w:footnote w:type="continuationSeparator" w:id="0">
    <w:p w14:paraId="11E466BA" w14:textId="77777777" w:rsidR="00011459" w:rsidRDefault="00011459" w:rsidP="0087650C">
      <w:pPr>
        <w:spacing w:after="0" w:line="240" w:lineRule="auto"/>
      </w:pPr>
      <w:r>
        <w:continuationSeparator/>
      </w:r>
    </w:p>
  </w:footnote>
  <w:footnote w:id="1">
    <w:p w14:paraId="473237D7" w14:textId="016D4C2E" w:rsidR="005511EF" w:rsidRPr="005511EF" w:rsidRDefault="005511EF">
      <w:pPr>
        <w:pStyle w:val="FootnoteText"/>
        <w:rPr>
          <w:rFonts w:ascii="Calibri" w:hAnsi="Calibri" w:cs="Calibri"/>
        </w:rPr>
      </w:pPr>
      <w:r w:rsidRPr="005511EF">
        <w:rPr>
          <w:rStyle w:val="FootnoteReference"/>
          <w:rFonts w:ascii="Calibri" w:hAnsi="Calibri" w:cs="Calibri"/>
        </w:rPr>
        <w:footnoteRef/>
      </w:r>
      <w:r w:rsidRPr="005511EF">
        <w:rPr>
          <w:rFonts w:ascii="Calibri" w:hAnsi="Calibri" w:cs="Calibri"/>
        </w:rPr>
        <w:t xml:space="preserve"> </w:t>
      </w:r>
      <w:r w:rsidRPr="005511EF">
        <w:rPr>
          <w:rFonts w:ascii="Calibri" w:hAnsi="Calibri" w:cs="Calibri"/>
          <w:i/>
          <w:iCs/>
        </w:rPr>
        <w:t>„TOP30 Legbefolyásosabb szereplő a magánegészségügyben”</w:t>
      </w:r>
      <w:r>
        <w:rPr>
          <w:rFonts w:ascii="Calibri" w:hAnsi="Calibri" w:cs="Calibri"/>
        </w:rPr>
        <w:t>, Heal Partners Kft., 2024. november</w:t>
      </w:r>
    </w:p>
  </w:footnote>
  <w:footnote w:id="2">
    <w:p w14:paraId="1D72EF1A" w14:textId="77777777" w:rsidR="000C7657" w:rsidRDefault="000C7657" w:rsidP="000C7657">
      <w:pPr>
        <w:pStyle w:val="FootnoteText"/>
      </w:pPr>
      <w:r>
        <w:rPr>
          <w:rStyle w:val="FootnoteReference"/>
        </w:rPr>
        <w:footnoteRef/>
      </w:r>
      <w:r>
        <w:t xml:space="preserve"> NN Biztosító Egészségügy kutatás, 2023. </w:t>
      </w:r>
      <w:r w:rsidRPr="00615E43">
        <w:t>1100 fős, kvantitatív önkitöltős kérdőív (CAWI) módszertannal végzett kutatás, amely reprezentatív a 20-64 éves magyar internetező felnőtt lakosságra nem, kor, iskolai végzettség, lakóhely és régió szerint. Az adatgyűjtés 2023. szeptember 25. és október 3. között zajlott.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AD0F" w14:textId="35D1BBB8" w:rsidR="00547D08" w:rsidRDefault="00547D08">
    <w:pPr>
      <w:pStyle w:val="Header"/>
    </w:pPr>
    <w:r>
      <w:rPr>
        <w:noProof/>
      </w:rPr>
      <w:drawing>
        <wp:inline distT="0" distB="0" distL="0" distR="0" wp14:anchorId="400A9C9A" wp14:editId="722699A2">
          <wp:extent cx="1771650" cy="1232009"/>
          <wp:effectExtent l="0" t="0" r="0" b="6350"/>
          <wp:docPr id="1" name="Kép 3"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descr="A képen embléma, Grafika, Betűtípus, Grafikus tervezés látható&#10;&#10;Automatikusan generált leírás"/>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p>
  <w:p w14:paraId="09A132A3" w14:textId="77777777" w:rsidR="00547D08" w:rsidRDefault="00547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F03CD"/>
    <w:multiLevelType w:val="hybridMultilevel"/>
    <w:tmpl w:val="B8B8F9D8"/>
    <w:lvl w:ilvl="0" w:tplc="894A727E">
      <w:numFmt w:val="bullet"/>
      <w:lvlText w:val="-"/>
      <w:lvlJc w:val="left"/>
      <w:pPr>
        <w:ind w:left="720" w:hanging="360"/>
      </w:pPr>
      <w:rPr>
        <w:rFonts w:ascii="Calibri" w:eastAsiaTheme="minorHAnsi" w:hAnsi="Calibri" w:cs="Calibri"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630208A8"/>
    <w:multiLevelType w:val="hybridMultilevel"/>
    <w:tmpl w:val="1AB86EA8"/>
    <w:lvl w:ilvl="0" w:tplc="EEF01B14">
      <w:numFmt w:val="bullet"/>
      <w:lvlText w:val="-"/>
      <w:lvlJc w:val="left"/>
      <w:pPr>
        <w:ind w:left="720" w:hanging="360"/>
      </w:pPr>
      <w:rPr>
        <w:rFonts w:ascii="Aptos" w:eastAsiaTheme="minorHAnsi" w:hAnsi="Aptos"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414320478">
    <w:abstractNumId w:val="0"/>
  </w:num>
  <w:num w:numId="2" w16cid:durableId="767696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640"/>
    <w:rsid w:val="0000369F"/>
    <w:rsid w:val="00006006"/>
    <w:rsid w:val="000070B2"/>
    <w:rsid w:val="0000783A"/>
    <w:rsid w:val="00011459"/>
    <w:rsid w:val="000126DE"/>
    <w:rsid w:val="0001382C"/>
    <w:rsid w:val="0001786A"/>
    <w:rsid w:val="0001792A"/>
    <w:rsid w:val="00032563"/>
    <w:rsid w:val="00033DDA"/>
    <w:rsid w:val="00072023"/>
    <w:rsid w:val="00080329"/>
    <w:rsid w:val="00083304"/>
    <w:rsid w:val="00087A74"/>
    <w:rsid w:val="000A56EF"/>
    <w:rsid w:val="000B26AD"/>
    <w:rsid w:val="000C1236"/>
    <w:rsid w:val="000C6A0E"/>
    <w:rsid w:val="000C7657"/>
    <w:rsid w:val="000D488A"/>
    <w:rsid w:val="000D4EB5"/>
    <w:rsid w:val="000E6E63"/>
    <w:rsid w:val="001047C2"/>
    <w:rsid w:val="00107D32"/>
    <w:rsid w:val="00112975"/>
    <w:rsid w:val="0011339B"/>
    <w:rsid w:val="00115B1B"/>
    <w:rsid w:val="0012202D"/>
    <w:rsid w:val="001243EA"/>
    <w:rsid w:val="00127169"/>
    <w:rsid w:val="00131C1F"/>
    <w:rsid w:val="001323C4"/>
    <w:rsid w:val="00134A3B"/>
    <w:rsid w:val="0014627F"/>
    <w:rsid w:val="001542F3"/>
    <w:rsid w:val="001560A7"/>
    <w:rsid w:val="00165875"/>
    <w:rsid w:val="001706B4"/>
    <w:rsid w:val="00170E6A"/>
    <w:rsid w:val="00184E2A"/>
    <w:rsid w:val="001A40BC"/>
    <w:rsid w:val="001A6B98"/>
    <w:rsid w:val="001B06E8"/>
    <w:rsid w:val="001B5ABB"/>
    <w:rsid w:val="001D2CEC"/>
    <w:rsid w:val="001D4A7F"/>
    <w:rsid w:val="001E1331"/>
    <w:rsid w:val="001F6EA3"/>
    <w:rsid w:val="00200005"/>
    <w:rsid w:val="00210B5A"/>
    <w:rsid w:val="00250837"/>
    <w:rsid w:val="00270003"/>
    <w:rsid w:val="00280444"/>
    <w:rsid w:val="002A0456"/>
    <w:rsid w:val="002A3388"/>
    <w:rsid w:val="002A6345"/>
    <w:rsid w:val="002A6CF9"/>
    <w:rsid w:val="002B09E4"/>
    <w:rsid w:val="002D0174"/>
    <w:rsid w:val="002D78CB"/>
    <w:rsid w:val="002E2E8F"/>
    <w:rsid w:val="002F0C85"/>
    <w:rsid w:val="00302F51"/>
    <w:rsid w:val="0030366E"/>
    <w:rsid w:val="003044BC"/>
    <w:rsid w:val="00305D9F"/>
    <w:rsid w:val="003207E2"/>
    <w:rsid w:val="0032183F"/>
    <w:rsid w:val="0032323B"/>
    <w:rsid w:val="003456D9"/>
    <w:rsid w:val="00351FD0"/>
    <w:rsid w:val="00363804"/>
    <w:rsid w:val="003726E3"/>
    <w:rsid w:val="003742C7"/>
    <w:rsid w:val="00374640"/>
    <w:rsid w:val="00396E36"/>
    <w:rsid w:val="003B1168"/>
    <w:rsid w:val="003C31D0"/>
    <w:rsid w:val="003D073A"/>
    <w:rsid w:val="003D4FB9"/>
    <w:rsid w:val="003E69E0"/>
    <w:rsid w:val="003F21BD"/>
    <w:rsid w:val="003F7C62"/>
    <w:rsid w:val="00402669"/>
    <w:rsid w:val="00407F36"/>
    <w:rsid w:val="00414981"/>
    <w:rsid w:val="004163EF"/>
    <w:rsid w:val="00416453"/>
    <w:rsid w:val="00425500"/>
    <w:rsid w:val="00434F03"/>
    <w:rsid w:val="00443BF0"/>
    <w:rsid w:val="00444872"/>
    <w:rsid w:val="0047655C"/>
    <w:rsid w:val="004907F3"/>
    <w:rsid w:val="0049183C"/>
    <w:rsid w:val="004921B6"/>
    <w:rsid w:val="00493994"/>
    <w:rsid w:val="00493E7F"/>
    <w:rsid w:val="004A177F"/>
    <w:rsid w:val="004A7728"/>
    <w:rsid w:val="004C5DB2"/>
    <w:rsid w:val="004E16AD"/>
    <w:rsid w:val="004E266C"/>
    <w:rsid w:val="004F24D5"/>
    <w:rsid w:val="00500FA7"/>
    <w:rsid w:val="005022E7"/>
    <w:rsid w:val="00503F19"/>
    <w:rsid w:val="00504437"/>
    <w:rsid w:val="00511744"/>
    <w:rsid w:val="00513CE2"/>
    <w:rsid w:val="00515608"/>
    <w:rsid w:val="00536D20"/>
    <w:rsid w:val="00547D08"/>
    <w:rsid w:val="005511EF"/>
    <w:rsid w:val="005728C2"/>
    <w:rsid w:val="00584C24"/>
    <w:rsid w:val="00595CEE"/>
    <w:rsid w:val="005970AB"/>
    <w:rsid w:val="005B229E"/>
    <w:rsid w:val="005B5775"/>
    <w:rsid w:val="005D41C3"/>
    <w:rsid w:val="005E7358"/>
    <w:rsid w:val="005F0E66"/>
    <w:rsid w:val="005F2D9D"/>
    <w:rsid w:val="00631E1D"/>
    <w:rsid w:val="00637466"/>
    <w:rsid w:val="006426C0"/>
    <w:rsid w:val="00665FC8"/>
    <w:rsid w:val="00666EC3"/>
    <w:rsid w:val="006845E0"/>
    <w:rsid w:val="00684879"/>
    <w:rsid w:val="00695F8B"/>
    <w:rsid w:val="006A1521"/>
    <w:rsid w:val="006A738A"/>
    <w:rsid w:val="006A7A5D"/>
    <w:rsid w:val="006B69B1"/>
    <w:rsid w:val="006C63BC"/>
    <w:rsid w:val="006D4A50"/>
    <w:rsid w:val="006E0629"/>
    <w:rsid w:val="006E5417"/>
    <w:rsid w:val="00705DC5"/>
    <w:rsid w:val="0071209E"/>
    <w:rsid w:val="00712A26"/>
    <w:rsid w:val="00713907"/>
    <w:rsid w:val="007172B5"/>
    <w:rsid w:val="007179F2"/>
    <w:rsid w:val="00724037"/>
    <w:rsid w:val="007240B5"/>
    <w:rsid w:val="00726ADD"/>
    <w:rsid w:val="00732082"/>
    <w:rsid w:val="00742AB6"/>
    <w:rsid w:val="007445F9"/>
    <w:rsid w:val="00761078"/>
    <w:rsid w:val="007659AB"/>
    <w:rsid w:val="00782B7F"/>
    <w:rsid w:val="007A71A4"/>
    <w:rsid w:val="007B17AF"/>
    <w:rsid w:val="007B51A3"/>
    <w:rsid w:val="007C3BB7"/>
    <w:rsid w:val="007C4568"/>
    <w:rsid w:val="007D33ED"/>
    <w:rsid w:val="007E1BF8"/>
    <w:rsid w:val="007E1C96"/>
    <w:rsid w:val="008207EF"/>
    <w:rsid w:val="00832BAA"/>
    <w:rsid w:val="00842D5E"/>
    <w:rsid w:val="00850756"/>
    <w:rsid w:val="00855C4A"/>
    <w:rsid w:val="00856009"/>
    <w:rsid w:val="00863A53"/>
    <w:rsid w:val="0086539D"/>
    <w:rsid w:val="008724F3"/>
    <w:rsid w:val="0087650C"/>
    <w:rsid w:val="008775D5"/>
    <w:rsid w:val="008A4340"/>
    <w:rsid w:val="008B5470"/>
    <w:rsid w:val="008C56EE"/>
    <w:rsid w:val="008C7520"/>
    <w:rsid w:val="008D02E1"/>
    <w:rsid w:val="008D212A"/>
    <w:rsid w:val="008E02CA"/>
    <w:rsid w:val="008E3CF7"/>
    <w:rsid w:val="008E787C"/>
    <w:rsid w:val="008F1DCB"/>
    <w:rsid w:val="008F3E19"/>
    <w:rsid w:val="0090122A"/>
    <w:rsid w:val="0090570B"/>
    <w:rsid w:val="00905CC7"/>
    <w:rsid w:val="00920577"/>
    <w:rsid w:val="00934E96"/>
    <w:rsid w:val="00950410"/>
    <w:rsid w:val="009558A2"/>
    <w:rsid w:val="009615C4"/>
    <w:rsid w:val="0097660E"/>
    <w:rsid w:val="00987B23"/>
    <w:rsid w:val="009A19E1"/>
    <w:rsid w:val="009A6DB1"/>
    <w:rsid w:val="009C33E8"/>
    <w:rsid w:val="009C5EEF"/>
    <w:rsid w:val="009D53D7"/>
    <w:rsid w:val="00A11098"/>
    <w:rsid w:val="00A42995"/>
    <w:rsid w:val="00A6350C"/>
    <w:rsid w:val="00A63AD6"/>
    <w:rsid w:val="00A745EA"/>
    <w:rsid w:val="00AA648D"/>
    <w:rsid w:val="00AD7287"/>
    <w:rsid w:val="00AE46C6"/>
    <w:rsid w:val="00AE6BC7"/>
    <w:rsid w:val="00AE7803"/>
    <w:rsid w:val="00B0052E"/>
    <w:rsid w:val="00B01266"/>
    <w:rsid w:val="00B013C3"/>
    <w:rsid w:val="00B03086"/>
    <w:rsid w:val="00B1413D"/>
    <w:rsid w:val="00B21627"/>
    <w:rsid w:val="00B2451A"/>
    <w:rsid w:val="00B3098B"/>
    <w:rsid w:val="00B3127F"/>
    <w:rsid w:val="00B31C2C"/>
    <w:rsid w:val="00B3289B"/>
    <w:rsid w:val="00B41979"/>
    <w:rsid w:val="00B516F8"/>
    <w:rsid w:val="00B56BF1"/>
    <w:rsid w:val="00B83A72"/>
    <w:rsid w:val="00B93E4B"/>
    <w:rsid w:val="00B95114"/>
    <w:rsid w:val="00B96A16"/>
    <w:rsid w:val="00BA0F43"/>
    <w:rsid w:val="00BB2FBC"/>
    <w:rsid w:val="00BB5AE1"/>
    <w:rsid w:val="00C033C5"/>
    <w:rsid w:val="00C04A55"/>
    <w:rsid w:val="00C10B24"/>
    <w:rsid w:val="00C1120E"/>
    <w:rsid w:val="00C23358"/>
    <w:rsid w:val="00C23A9F"/>
    <w:rsid w:val="00C25A53"/>
    <w:rsid w:val="00C30083"/>
    <w:rsid w:val="00C455ED"/>
    <w:rsid w:val="00C56A07"/>
    <w:rsid w:val="00C70414"/>
    <w:rsid w:val="00C712B0"/>
    <w:rsid w:val="00C72841"/>
    <w:rsid w:val="00C80032"/>
    <w:rsid w:val="00C815C7"/>
    <w:rsid w:val="00C86F58"/>
    <w:rsid w:val="00C8780C"/>
    <w:rsid w:val="00CA3738"/>
    <w:rsid w:val="00CB106F"/>
    <w:rsid w:val="00CB79B0"/>
    <w:rsid w:val="00CB7ED7"/>
    <w:rsid w:val="00CD0C7F"/>
    <w:rsid w:val="00CD4AAC"/>
    <w:rsid w:val="00CD4FCA"/>
    <w:rsid w:val="00D10454"/>
    <w:rsid w:val="00D1098E"/>
    <w:rsid w:val="00D1429A"/>
    <w:rsid w:val="00D30343"/>
    <w:rsid w:val="00D34EFC"/>
    <w:rsid w:val="00D37C4A"/>
    <w:rsid w:val="00D51D15"/>
    <w:rsid w:val="00D65870"/>
    <w:rsid w:val="00D73562"/>
    <w:rsid w:val="00D821ED"/>
    <w:rsid w:val="00D84568"/>
    <w:rsid w:val="00D84DB0"/>
    <w:rsid w:val="00DA1D8B"/>
    <w:rsid w:val="00DB61D5"/>
    <w:rsid w:val="00DB6D70"/>
    <w:rsid w:val="00DC30BE"/>
    <w:rsid w:val="00DC7201"/>
    <w:rsid w:val="00DE5267"/>
    <w:rsid w:val="00E01BB9"/>
    <w:rsid w:val="00E01DC4"/>
    <w:rsid w:val="00E051BA"/>
    <w:rsid w:val="00E05C55"/>
    <w:rsid w:val="00E10F16"/>
    <w:rsid w:val="00E11957"/>
    <w:rsid w:val="00E178CF"/>
    <w:rsid w:val="00E24380"/>
    <w:rsid w:val="00E2460D"/>
    <w:rsid w:val="00E50E85"/>
    <w:rsid w:val="00E514BA"/>
    <w:rsid w:val="00E6340D"/>
    <w:rsid w:val="00E653F3"/>
    <w:rsid w:val="00EA6A8D"/>
    <w:rsid w:val="00EB6BCB"/>
    <w:rsid w:val="00EC44A9"/>
    <w:rsid w:val="00EF529E"/>
    <w:rsid w:val="00F036FB"/>
    <w:rsid w:val="00F07FBD"/>
    <w:rsid w:val="00F1245B"/>
    <w:rsid w:val="00F34382"/>
    <w:rsid w:val="00F34951"/>
    <w:rsid w:val="00F36E27"/>
    <w:rsid w:val="00F413B8"/>
    <w:rsid w:val="00F455F3"/>
    <w:rsid w:val="00F63649"/>
    <w:rsid w:val="00F66389"/>
    <w:rsid w:val="00F6769B"/>
    <w:rsid w:val="00F710D2"/>
    <w:rsid w:val="00F72B6E"/>
    <w:rsid w:val="00F867C4"/>
    <w:rsid w:val="00F9560F"/>
    <w:rsid w:val="00FA0482"/>
    <w:rsid w:val="00FA04C8"/>
    <w:rsid w:val="00FA59B5"/>
    <w:rsid w:val="00FA70FE"/>
    <w:rsid w:val="00FB3CC8"/>
    <w:rsid w:val="00FB65E1"/>
    <w:rsid w:val="00FB6EC2"/>
    <w:rsid w:val="00FB6F4E"/>
    <w:rsid w:val="00FC49F2"/>
    <w:rsid w:val="00FD2049"/>
    <w:rsid w:val="00FD542D"/>
    <w:rsid w:val="00FD5E7E"/>
    <w:rsid w:val="00FD787F"/>
    <w:rsid w:val="00FE2C6E"/>
    <w:rsid w:val="03147957"/>
    <w:rsid w:val="0414B441"/>
    <w:rsid w:val="081D2EB3"/>
    <w:rsid w:val="08F4FA13"/>
    <w:rsid w:val="0B8C47FA"/>
    <w:rsid w:val="0DDD742A"/>
    <w:rsid w:val="0E6317CF"/>
    <w:rsid w:val="11A9DF25"/>
    <w:rsid w:val="1AAAC09B"/>
    <w:rsid w:val="1C17A9AA"/>
    <w:rsid w:val="1CFFEE17"/>
    <w:rsid w:val="1DB2B3F0"/>
    <w:rsid w:val="1FA970A8"/>
    <w:rsid w:val="211A700D"/>
    <w:rsid w:val="21B20DB7"/>
    <w:rsid w:val="25426608"/>
    <w:rsid w:val="2A845220"/>
    <w:rsid w:val="2AEC9BBE"/>
    <w:rsid w:val="2E20DB13"/>
    <w:rsid w:val="3011127E"/>
    <w:rsid w:val="36547274"/>
    <w:rsid w:val="381616A6"/>
    <w:rsid w:val="38906556"/>
    <w:rsid w:val="3CE9A0FE"/>
    <w:rsid w:val="3DDBF58B"/>
    <w:rsid w:val="49E4A10F"/>
    <w:rsid w:val="49EFD6C9"/>
    <w:rsid w:val="4A094D62"/>
    <w:rsid w:val="4ED20EE2"/>
    <w:rsid w:val="4ED49489"/>
    <w:rsid w:val="52AB2A24"/>
    <w:rsid w:val="56445588"/>
    <w:rsid w:val="58916220"/>
    <w:rsid w:val="5AF3CAB3"/>
    <w:rsid w:val="5CDA3979"/>
    <w:rsid w:val="5F50B8EE"/>
    <w:rsid w:val="6166D1B4"/>
    <w:rsid w:val="63F6A927"/>
    <w:rsid w:val="6D0F938C"/>
    <w:rsid w:val="6FFBF5F2"/>
    <w:rsid w:val="725E1878"/>
    <w:rsid w:val="77250E17"/>
    <w:rsid w:val="77EB72F8"/>
    <w:rsid w:val="7FF6033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1BB0E"/>
  <w15:chartTrackingRefBased/>
  <w15:docId w15:val="{99A859E4-4884-4619-A7D7-68F78B0D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CC8"/>
  </w:style>
  <w:style w:type="paragraph" w:styleId="Heading1">
    <w:name w:val="heading 1"/>
    <w:basedOn w:val="Normal"/>
    <w:next w:val="Normal"/>
    <w:link w:val="Heading1Char"/>
    <w:uiPriority w:val="9"/>
    <w:qFormat/>
    <w:rsid w:val="003746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46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46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46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46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46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46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46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46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6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46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46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46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46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46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46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46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4640"/>
    <w:rPr>
      <w:rFonts w:eastAsiaTheme="majorEastAsia" w:cstheme="majorBidi"/>
      <w:color w:val="272727" w:themeColor="text1" w:themeTint="D8"/>
    </w:rPr>
  </w:style>
  <w:style w:type="paragraph" w:styleId="Title">
    <w:name w:val="Title"/>
    <w:basedOn w:val="Normal"/>
    <w:next w:val="Normal"/>
    <w:link w:val="TitleChar"/>
    <w:uiPriority w:val="10"/>
    <w:qFormat/>
    <w:rsid w:val="003746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6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6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46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4640"/>
    <w:pPr>
      <w:spacing w:before="160"/>
      <w:jc w:val="center"/>
    </w:pPr>
    <w:rPr>
      <w:i/>
      <w:iCs/>
      <w:color w:val="404040" w:themeColor="text1" w:themeTint="BF"/>
    </w:rPr>
  </w:style>
  <w:style w:type="character" w:customStyle="1" w:styleId="QuoteChar">
    <w:name w:val="Quote Char"/>
    <w:basedOn w:val="DefaultParagraphFont"/>
    <w:link w:val="Quote"/>
    <w:uiPriority w:val="29"/>
    <w:rsid w:val="00374640"/>
    <w:rPr>
      <w:i/>
      <w:iCs/>
      <w:color w:val="404040" w:themeColor="text1" w:themeTint="BF"/>
    </w:rPr>
  </w:style>
  <w:style w:type="paragraph" w:styleId="ListParagraph">
    <w:name w:val="List Paragraph"/>
    <w:basedOn w:val="Normal"/>
    <w:uiPriority w:val="34"/>
    <w:qFormat/>
    <w:rsid w:val="00374640"/>
    <w:pPr>
      <w:ind w:left="720"/>
      <w:contextualSpacing/>
    </w:pPr>
  </w:style>
  <w:style w:type="character" w:styleId="IntenseEmphasis">
    <w:name w:val="Intense Emphasis"/>
    <w:basedOn w:val="DefaultParagraphFont"/>
    <w:uiPriority w:val="21"/>
    <w:qFormat/>
    <w:rsid w:val="00374640"/>
    <w:rPr>
      <w:i/>
      <w:iCs/>
      <w:color w:val="0F4761" w:themeColor="accent1" w:themeShade="BF"/>
    </w:rPr>
  </w:style>
  <w:style w:type="paragraph" w:styleId="IntenseQuote">
    <w:name w:val="Intense Quote"/>
    <w:basedOn w:val="Normal"/>
    <w:next w:val="Normal"/>
    <w:link w:val="IntenseQuoteChar"/>
    <w:uiPriority w:val="30"/>
    <w:qFormat/>
    <w:rsid w:val="00374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4640"/>
    <w:rPr>
      <w:i/>
      <w:iCs/>
      <w:color w:val="0F4761" w:themeColor="accent1" w:themeShade="BF"/>
    </w:rPr>
  </w:style>
  <w:style w:type="character" w:styleId="IntenseReference">
    <w:name w:val="Intense Reference"/>
    <w:basedOn w:val="DefaultParagraphFont"/>
    <w:uiPriority w:val="32"/>
    <w:qFormat/>
    <w:rsid w:val="00374640"/>
    <w:rPr>
      <w:b/>
      <w:bCs/>
      <w:smallCaps/>
      <w:color w:val="0F4761" w:themeColor="accent1" w:themeShade="BF"/>
      <w:spacing w:val="5"/>
    </w:rPr>
  </w:style>
  <w:style w:type="character" w:styleId="Hyperlink">
    <w:name w:val="Hyperlink"/>
    <w:basedOn w:val="DefaultParagraphFont"/>
    <w:uiPriority w:val="99"/>
    <w:unhideWhenUsed/>
    <w:rsid w:val="00374640"/>
    <w:rPr>
      <w:color w:val="467886" w:themeColor="hyperlink"/>
      <w:u w:val="single"/>
    </w:rPr>
  </w:style>
  <w:style w:type="character" w:styleId="UnresolvedMention">
    <w:name w:val="Unresolved Mention"/>
    <w:basedOn w:val="DefaultParagraphFont"/>
    <w:uiPriority w:val="99"/>
    <w:semiHidden/>
    <w:unhideWhenUsed/>
    <w:rsid w:val="00374640"/>
    <w:rPr>
      <w:color w:val="605E5C"/>
      <w:shd w:val="clear" w:color="auto" w:fill="E1DFDD"/>
    </w:rPr>
  </w:style>
  <w:style w:type="paragraph" w:styleId="FootnoteText">
    <w:name w:val="footnote text"/>
    <w:basedOn w:val="Normal"/>
    <w:link w:val="FootnoteTextChar"/>
    <w:uiPriority w:val="99"/>
    <w:semiHidden/>
    <w:unhideWhenUsed/>
    <w:rsid w:val="008765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650C"/>
    <w:rPr>
      <w:sz w:val="20"/>
      <w:szCs w:val="20"/>
    </w:rPr>
  </w:style>
  <w:style w:type="character" w:styleId="FootnoteReference">
    <w:name w:val="footnote reference"/>
    <w:basedOn w:val="DefaultParagraphFont"/>
    <w:uiPriority w:val="99"/>
    <w:semiHidden/>
    <w:unhideWhenUsed/>
    <w:rsid w:val="0087650C"/>
    <w:rPr>
      <w:vertAlign w:val="superscript"/>
    </w:rPr>
  </w:style>
  <w:style w:type="paragraph" w:styleId="NormalWeb">
    <w:name w:val="Normal (Web)"/>
    <w:basedOn w:val="Normal"/>
    <w:uiPriority w:val="99"/>
    <w:semiHidden/>
    <w:unhideWhenUsed/>
    <w:rsid w:val="003E69E0"/>
    <w:rPr>
      <w:rFonts w:ascii="Times New Roman" w:hAnsi="Times New Roman" w:cs="Times New Roman"/>
    </w:rPr>
  </w:style>
  <w:style w:type="paragraph" w:styleId="Revision">
    <w:name w:val="Revision"/>
    <w:hidden/>
    <w:uiPriority w:val="99"/>
    <w:semiHidden/>
    <w:rsid w:val="00726ADD"/>
    <w:pPr>
      <w:spacing w:after="0" w:line="240" w:lineRule="auto"/>
    </w:pPr>
  </w:style>
  <w:style w:type="character" w:styleId="CommentReference">
    <w:name w:val="annotation reference"/>
    <w:basedOn w:val="DefaultParagraphFont"/>
    <w:uiPriority w:val="99"/>
    <w:semiHidden/>
    <w:unhideWhenUsed/>
    <w:rsid w:val="007A71A4"/>
    <w:rPr>
      <w:sz w:val="16"/>
      <w:szCs w:val="16"/>
    </w:rPr>
  </w:style>
  <w:style w:type="paragraph" w:styleId="CommentText">
    <w:name w:val="annotation text"/>
    <w:basedOn w:val="Normal"/>
    <w:link w:val="CommentTextChar"/>
    <w:uiPriority w:val="99"/>
    <w:unhideWhenUsed/>
    <w:rsid w:val="007A71A4"/>
    <w:pPr>
      <w:spacing w:line="240" w:lineRule="auto"/>
    </w:pPr>
    <w:rPr>
      <w:sz w:val="20"/>
      <w:szCs w:val="20"/>
    </w:rPr>
  </w:style>
  <w:style w:type="character" w:customStyle="1" w:styleId="CommentTextChar">
    <w:name w:val="Comment Text Char"/>
    <w:basedOn w:val="DefaultParagraphFont"/>
    <w:link w:val="CommentText"/>
    <w:uiPriority w:val="99"/>
    <w:rsid w:val="007A71A4"/>
    <w:rPr>
      <w:sz w:val="20"/>
      <w:szCs w:val="20"/>
    </w:rPr>
  </w:style>
  <w:style w:type="paragraph" w:styleId="CommentSubject">
    <w:name w:val="annotation subject"/>
    <w:basedOn w:val="CommentText"/>
    <w:next w:val="CommentText"/>
    <w:link w:val="CommentSubjectChar"/>
    <w:uiPriority w:val="99"/>
    <w:semiHidden/>
    <w:unhideWhenUsed/>
    <w:rsid w:val="007A71A4"/>
    <w:rPr>
      <w:b/>
      <w:bCs/>
    </w:rPr>
  </w:style>
  <w:style w:type="character" w:customStyle="1" w:styleId="CommentSubjectChar">
    <w:name w:val="Comment Subject Char"/>
    <w:basedOn w:val="CommentTextChar"/>
    <w:link w:val="CommentSubject"/>
    <w:uiPriority w:val="99"/>
    <w:semiHidden/>
    <w:rsid w:val="007A71A4"/>
    <w:rPr>
      <w:b/>
      <w:bCs/>
      <w:sz w:val="20"/>
      <w:szCs w:val="20"/>
    </w:rPr>
  </w:style>
  <w:style w:type="character" w:styleId="FollowedHyperlink">
    <w:name w:val="FollowedHyperlink"/>
    <w:basedOn w:val="DefaultParagraphFont"/>
    <w:uiPriority w:val="99"/>
    <w:semiHidden/>
    <w:unhideWhenUsed/>
    <w:rsid w:val="00FA04C8"/>
    <w:rPr>
      <w:color w:val="96607D" w:themeColor="followedHyperlink"/>
      <w:u w:val="single"/>
    </w:rPr>
  </w:style>
  <w:style w:type="paragraph" w:styleId="Header">
    <w:name w:val="header"/>
    <w:basedOn w:val="Normal"/>
    <w:link w:val="HeaderChar"/>
    <w:uiPriority w:val="99"/>
    <w:unhideWhenUsed/>
    <w:rsid w:val="00547D08"/>
    <w:pPr>
      <w:tabs>
        <w:tab w:val="center" w:pos="4536"/>
        <w:tab w:val="right" w:pos="9072"/>
      </w:tabs>
      <w:spacing w:after="0" w:line="240" w:lineRule="auto"/>
    </w:pPr>
  </w:style>
  <w:style w:type="character" w:customStyle="1" w:styleId="HeaderChar">
    <w:name w:val="Header Char"/>
    <w:basedOn w:val="DefaultParagraphFont"/>
    <w:link w:val="Header"/>
    <w:uiPriority w:val="99"/>
    <w:rsid w:val="00547D08"/>
  </w:style>
  <w:style w:type="paragraph" w:styleId="Footer">
    <w:name w:val="footer"/>
    <w:basedOn w:val="Normal"/>
    <w:link w:val="FooterChar"/>
    <w:uiPriority w:val="99"/>
    <w:unhideWhenUsed/>
    <w:rsid w:val="00547D0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47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259">
      <w:bodyDiv w:val="1"/>
      <w:marLeft w:val="0"/>
      <w:marRight w:val="0"/>
      <w:marTop w:val="0"/>
      <w:marBottom w:val="0"/>
      <w:divBdr>
        <w:top w:val="none" w:sz="0" w:space="0" w:color="auto"/>
        <w:left w:val="none" w:sz="0" w:space="0" w:color="auto"/>
        <w:bottom w:val="none" w:sz="0" w:space="0" w:color="auto"/>
        <w:right w:val="none" w:sz="0" w:space="0" w:color="auto"/>
      </w:divBdr>
      <w:divsChild>
        <w:div w:id="2084180575">
          <w:marLeft w:val="0"/>
          <w:marRight w:val="0"/>
          <w:marTop w:val="0"/>
          <w:marBottom w:val="0"/>
          <w:divBdr>
            <w:top w:val="none" w:sz="0" w:space="0" w:color="auto"/>
            <w:left w:val="none" w:sz="0" w:space="0" w:color="auto"/>
            <w:bottom w:val="none" w:sz="0" w:space="0" w:color="auto"/>
            <w:right w:val="none" w:sz="0" w:space="0" w:color="auto"/>
          </w:divBdr>
        </w:div>
        <w:div w:id="1598977679">
          <w:marLeft w:val="0"/>
          <w:marRight w:val="0"/>
          <w:marTop w:val="0"/>
          <w:marBottom w:val="0"/>
          <w:divBdr>
            <w:top w:val="none" w:sz="0" w:space="0" w:color="auto"/>
            <w:left w:val="none" w:sz="0" w:space="0" w:color="auto"/>
            <w:bottom w:val="none" w:sz="0" w:space="0" w:color="auto"/>
            <w:right w:val="none" w:sz="0" w:space="0" w:color="auto"/>
          </w:divBdr>
        </w:div>
        <w:div w:id="1683438258">
          <w:marLeft w:val="0"/>
          <w:marRight w:val="0"/>
          <w:marTop w:val="0"/>
          <w:marBottom w:val="0"/>
          <w:divBdr>
            <w:top w:val="none" w:sz="0" w:space="0" w:color="auto"/>
            <w:left w:val="none" w:sz="0" w:space="0" w:color="auto"/>
            <w:bottom w:val="none" w:sz="0" w:space="0" w:color="auto"/>
            <w:right w:val="none" w:sz="0" w:space="0" w:color="auto"/>
          </w:divBdr>
        </w:div>
        <w:div w:id="1694841096">
          <w:marLeft w:val="0"/>
          <w:marRight w:val="0"/>
          <w:marTop w:val="0"/>
          <w:marBottom w:val="0"/>
          <w:divBdr>
            <w:top w:val="none" w:sz="0" w:space="0" w:color="auto"/>
            <w:left w:val="none" w:sz="0" w:space="0" w:color="auto"/>
            <w:bottom w:val="none" w:sz="0" w:space="0" w:color="auto"/>
            <w:right w:val="none" w:sz="0" w:space="0" w:color="auto"/>
          </w:divBdr>
        </w:div>
      </w:divsChild>
    </w:div>
    <w:div w:id="123013797">
      <w:bodyDiv w:val="1"/>
      <w:marLeft w:val="0"/>
      <w:marRight w:val="0"/>
      <w:marTop w:val="0"/>
      <w:marBottom w:val="0"/>
      <w:divBdr>
        <w:top w:val="none" w:sz="0" w:space="0" w:color="auto"/>
        <w:left w:val="none" w:sz="0" w:space="0" w:color="auto"/>
        <w:bottom w:val="none" w:sz="0" w:space="0" w:color="auto"/>
        <w:right w:val="none" w:sz="0" w:space="0" w:color="auto"/>
      </w:divBdr>
    </w:div>
    <w:div w:id="168642946">
      <w:bodyDiv w:val="1"/>
      <w:marLeft w:val="0"/>
      <w:marRight w:val="0"/>
      <w:marTop w:val="0"/>
      <w:marBottom w:val="0"/>
      <w:divBdr>
        <w:top w:val="none" w:sz="0" w:space="0" w:color="auto"/>
        <w:left w:val="none" w:sz="0" w:space="0" w:color="auto"/>
        <w:bottom w:val="none" w:sz="0" w:space="0" w:color="auto"/>
        <w:right w:val="none" w:sz="0" w:space="0" w:color="auto"/>
      </w:divBdr>
      <w:divsChild>
        <w:div w:id="665280866">
          <w:marLeft w:val="0"/>
          <w:marRight w:val="0"/>
          <w:marTop w:val="0"/>
          <w:marBottom w:val="0"/>
          <w:divBdr>
            <w:top w:val="none" w:sz="0" w:space="0" w:color="auto"/>
            <w:left w:val="none" w:sz="0" w:space="0" w:color="auto"/>
            <w:bottom w:val="none" w:sz="0" w:space="0" w:color="auto"/>
            <w:right w:val="none" w:sz="0" w:space="0" w:color="auto"/>
          </w:divBdr>
        </w:div>
      </w:divsChild>
    </w:div>
    <w:div w:id="171263116">
      <w:bodyDiv w:val="1"/>
      <w:marLeft w:val="0"/>
      <w:marRight w:val="0"/>
      <w:marTop w:val="0"/>
      <w:marBottom w:val="0"/>
      <w:divBdr>
        <w:top w:val="none" w:sz="0" w:space="0" w:color="auto"/>
        <w:left w:val="none" w:sz="0" w:space="0" w:color="auto"/>
        <w:bottom w:val="none" w:sz="0" w:space="0" w:color="auto"/>
        <w:right w:val="none" w:sz="0" w:space="0" w:color="auto"/>
      </w:divBdr>
    </w:div>
    <w:div w:id="333535216">
      <w:bodyDiv w:val="1"/>
      <w:marLeft w:val="0"/>
      <w:marRight w:val="0"/>
      <w:marTop w:val="0"/>
      <w:marBottom w:val="0"/>
      <w:divBdr>
        <w:top w:val="none" w:sz="0" w:space="0" w:color="auto"/>
        <w:left w:val="none" w:sz="0" w:space="0" w:color="auto"/>
        <w:bottom w:val="none" w:sz="0" w:space="0" w:color="auto"/>
        <w:right w:val="none" w:sz="0" w:space="0" w:color="auto"/>
      </w:divBdr>
    </w:div>
    <w:div w:id="377902050">
      <w:bodyDiv w:val="1"/>
      <w:marLeft w:val="0"/>
      <w:marRight w:val="0"/>
      <w:marTop w:val="0"/>
      <w:marBottom w:val="0"/>
      <w:divBdr>
        <w:top w:val="none" w:sz="0" w:space="0" w:color="auto"/>
        <w:left w:val="none" w:sz="0" w:space="0" w:color="auto"/>
        <w:bottom w:val="none" w:sz="0" w:space="0" w:color="auto"/>
        <w:right w:val="none" w:sz="0" w:space="0" w:color="auto"/>
      </w:divBdr>
      <w:divsChild>
        <w:div w:id="1263420232">
          <w:marLeft w:val="0"/>
          <w:marRight w:val="0"/>
          <w:marTop w:val="0"/>
          <w:marBottom w:val="0"/>
          <w:divBdr>
            <w:top w:val="none" w:sz="0" w:space="0" w:color="auto"/>
            <w:left w:val="none" w:sz="0" w:space="0" w:color="auto"/>
            <w:bottom w:val="none" w:sz="0" w:space="0" w:color="auto"/>
            <w:right w:val="none" w:sz="0" w:space="0" w:color="auto"/>
          </w:divBdr>
        </w:div>
        <w:div w:id="1224368595">
          <w:marLeft w:val="0"/>
          <w:marRight w:val="0"/>
          <w:marTop w:val="0"/>
          <w:marBottom w:val="0"/>
          <w:divBdr>
            <w:top w:val="none" w:sz="0" w:space="0" w:color="auto"/>
            <w:left w:val="none" w:sz="0" w:space="0" w:color="auto"/>
            <w:bottom w:val="none" w:sz="0" w:space="0" w:color="auto"/>
            <w:right w:val="none" w:sz="0" w:space="0" w:color="auto"/>
          </w:divBdr>
        </w:div>
        <w:div w:id="1854148042">
          <w:marLeft w:val="0"/>
          <w:marRight w:val="0"/>
          <w:marTop w:val="0"/>
          <w:marBottom w:val="0"/>
          <w:divBdr>
            <w:top w:val="none" w:sz="0" w:space="0" w:color="auto"/>
            <w:left w:val="none" w:sz="0" w:space="0" w:color="auto"/>
            <w:bottom w:val="none" w:sz="0" w:space="0" w:color="auto"/>
            <w:right w:val="none" w:sz="0" w:space="0" w:color="auto"/>
          </w:divBdr>
        </w:div>
      </w:divsChild>
    </w:div>
    <w:div w:id="417599639">
      <w:bodyDiv w:val="1"/>
      <w:marLeft w:val="0"/>
      <w:marRight w:val="0"/>
      <w:marTop w:val="0"/>
      <w:marBottom w:val="0"/>
      <w:divBdr>
        <w:top w:val="none" w:sz="0" w:space="0" w:color="auto"/>
        <w:left w:val="none" w:sz="0" w:space="0" w:color="auto"/>
        <w:bottom w:val="none" w:sz="0" w:space="0" w:color="auto"/>
        <w:right w:val="none" w:sz="0" w:space="0" w:color="auto"/>
      </w:divBdr>
      <w:divsChild>
        <w:div w:id="336619391">
          <w:marLeft w:val="0"/>
          <w:marRight w:val="0"/>
          <w:marTop w:val="0"/>
          <w:marBottom w:val="0"/>
          <w:divBdr>
            <w:top w:val="none" w:sz="0" w:space="0" w:color="auto"/>
            <w:left w:val="none" w:sz="0" w:space="0" w:color="auto"/>
            <w:bottom w:val="none" w:sz="0" w:space="0" w:color="auto"/>
            <w:right w:val="none" w:sz="0" w:space="0" w:color="auto"/>
          </w:divBdr>
        </w:div>
        <w:div w:id="298652850">
          <w:marLeft w:val="0"/>
          <w:marRight w:val="0"/>
          <w:marTop w:val="0"/>
          <w:marBottom w:val="0"/>
          <w:divBdr>
            <w:top w:val="none" w:sz="0" w:space="0" w:color="auto"/>
            <w:left w:val="none" w:sz="0" w:space="0" w:color="auto"/>
            <w:bottom w:val="none" w:sz="0" w:space="0" w:color="auto"/>
            <w:right w:val="none" w:sz="0" w:space="0" w:color="auto"/>
          </w:divBdr>
        </w:div>
        <w:div w:id="2044481522">
          <w:marLeft w:val="0"/>
          <w:marRight w:val="0"/>
          <w:marTop w:val="0"/>
          <w:marBottom w:val="0"/>
          <w:divBdr>
            <w:top w:val="none" w:sz="0" w:space="0" w:color="auto"/>
            <w:left w:val="none" w:sz="0" w:space="0" w:color="auto"/>
            <w:bottom w:val="none" w:sz="0" w:space="0" w:color="auto"/>
            <w:right w:val="none" w:sz="0" w:space="0" w:color="auto"/>
          </w:divBdr>
        </w:div>
        <w:div w:id="317074001">
          <w:marLeft w:val="0"/>
          <w:marRight w:val="0"/>
          <w:marTop w:val="0"/>
          <w:marBottom w:val="0"/>
          <w:divBdr>
            <w:top w:val="none" w:sz="0" w:space="0" w:color="auto"/>
            <w:left w:val="none" w:sz="0" w:space="0" w:color="auto"/>
            <w:bottom w:val="none" w:sz="0" w:space="0" w:color="auto"/>
            <w:right w:val="none" w:sz="0" w:space="0" w:color="auto"/>
          </w:divBdr>
        </w:div>
        <w:div w:id="158037514">
          <w:marLeft w:val="0"/>
          <w:marRight w:val="0"/>
          <w:marTop w:val="0"/>
          <w:marBottom w:val="0"/>
          <w:divBdr>
            <w:top w:val="none" w:sz="0" w:space="0" w:color="auto"/>
            <w:left w:val="none" w:sz="0" w:space="0" w:color="auto"/>
            <w:bottom w:val="none" w:sz="0" w:space="0" w:color="auto"/>
            <w:right w:val="none" w:sz="0" w:space="0" w:color="auto"/>
          </w:divBdr>
        </w:div>
        <w:div w:id="340204037">
          <w:marLeft w:val="0"/>
          <w:marRight w:val="0"/>
          <w:marTop w:val="0"/>
          <w:marBottom w:val="0"/>
          <w:divBdr>
            <w:top w:val="none" w:sz="0" w:space="0" w:color="auto"/>
            <w:left w:val="none" w:sz="0" w:space="0" w:color="auto"/>
            <w:bottom w:val="none" w:sz="0" w:space="0" w:color="auto"/>
            <w:right w:val="none" w:sz="0" w:space="0" w:color="auto"/>
          </w:divBdr>
        </w:div>
        <w:div w:id="896745854">
          <w:marLeft w:val="0"/>
          <w:marRight w:val="0"/>
          <w:marTop w:val="0"/>
          <w:marBottom w:val="0"/>
          <w:divBdr>
            <w:top w:val="none" w:sz="0" w:space="0" w:color="auto"/>
            <w:left w:val="none" w:sz="0" w:space="0" w:color="auto"/>
            <w:bottom w:val="none" w:sz="0" w:space="0" w:color="auto"/>
            <w:right w:val="none" w:sz="0" w:space="0" w:color="auto"/>
          </w:divBdr>
        </w:div>
        <w:div w:id="726223771">
          <w:marLeft w:val="0"/>
          <w:marRight w:val="0"/>
          <w:marTop w:val="0"/>
          <w:marBottom w:val="0"/>
          <w:divBdr>
            <w:top w:val="none" w:sz="0" w:space="0" w:color="auto"/>
            <w:left w:val="none" w:sz="0" w:space="0" w:color="auto"/>
            <w:bottom w:val="none" w:sz="0" w:space="0" w:color="auto"/>
            <w:right w:val="none" w:sz="0" w:space="0" w:color="auto"/>
          </w:divBdr>
        </w:div>
        <w:div w:id="375356689">
          <w:marLeft w:val="0"/>
          <w:marRight w:val="0"/>
          <w:marTop w:val="0"/>
          <w:marBottom w:val="0"/>
          <w:divBdr>
            <w:top w:val="none" w:sz="0" w:space="0" w:color="auto"/>
            <w:left w:val="none" w:sz="0" w:space="0" w:color="auto"/>
            <w:bottom w:val="none" w:sz="0" w:space="0" w:color="auto"/>
            <w:right w:val="none" w:sz="0" w:space="0" w:color="auto"/>
          </w:divBdr>
        </w:div>
        <w:div w:id="801776012">
          <w:marLeft w:val="0"/>
          <w:marRight w:val="0"/>
          <w:marTop w:val="0"/>
          <w:marBottom w:val="0"/>
          <w:divBdr>
            <w:top w:val="none" w:sz="0" w:space="0" w:color="auto"/>
            <w:left w:val="none" w:sz="0" w:space="0" w:color="auto"/>
            <w:bottom w:val="none" w:sz="0" w:space="0" w:color="auto"/>
            <w:right w:val="none" w:sz="0" w:space="0" w:color="auto"/>
          </w:divBdr>
        </w:div>
        <w:div w:id="395514296">
          <w:marLeft w:val="0"/>
          <w:marRight w:val="0"/>
          <w:marTop w:val="0"/>
          <w:marBottom w:val="0"/>
          <w:divBdr>
            <w:top w:val="none" w:sz="0" w:space="0" w:color="auto"/>
            <w:left w:val="none" w:sz="0" w:space="0" w:color="auto"/>
            <w:bottom w:val="none" w:sz="0" w:space="0" w:color="auto"/>
            <w:right w:val="none" w:sz="0" w:space="0" w:color="auto"/>
          </w:divBdr>
        </w:div>
        <w:div w:id="1516964970">
          <w:marLeft w:val="0"/>
          <w:marRight w:val="0"/>
          <w:marTop w:val="0"/>
          <w:marBottom w:val="0"/>
          <w:divBdr>
            <w:top w:val="none" w:sz="0" w:space="0" w:color="auto"/>
            <w:left w:val="none" w:sz="0" w:space="0" w:color="auto"/>
            <w:bottom w:val="none" w:sz="0" w:space="0" w:color="auto"/>
            <w:right w:val="none" w:sz="0" w:space="0" w:color="auto"/>
          </w:divBdr>
        </w:div>
        <w:div w:id="1250038123">
          <w:marLeft w:val="0"/>
          <w:marRight w:val="0"/>
          <w:marTop w:val="0"/>
          <w:marBottom w:val="0"/>
          <w:divBdr>
            <w:top w:val="none" w:sz="0" w:space="0" w:color="auto"/>
            <w:left w:val="none" w:sz="0" w:space="0" w:color="auto"/>
            <w:bottom w:val="none" w:sz="0" w:space="0" w:color="auto"/>
            <w:right w:val="none" w:sz="0" w:space="0" w:color="auto"/>
          </w:divBdr>
        </w:div>
        <w:div w:id="950089722">
          <w:marLeft w:val="0"/>
          <w:marRight w:val="0"/>
          <w:marTop w:val="0"/>
          <w:marBottom w:val="0"/>
          <w:divBdr>
            <w:top w:val="none" w:sz="0" w:space="0" w:color="auto"/>
            <w:left w:val="none" w:sz="0" w:space="0" w:color="auto"/>
            <w:bottom w:val="none" w:sz="0" w:space="0" w:color="auto"/>
            <w:right w:val="none" w:sz="0" w:space="0" w:color="auto"/>
          </w:divBdr>
        </w:div>
      </w:divsChild>
    </w:div>
    <w:div w:id="622928453">
      <w:bodyDiv w:val="1"/>
      <w:marLeft w:val="0"/>
      <w:marRight w:val="0"/>
      <w:marTop w:val="0"/>
      <w:marBottom w:val="0"/>
      <w:divBdr>
        <w:top w:val="none" w:sz="0" w:space="0" w:color="auto"/>
        <w:left w:val="none" w:sz="0" w:space="0" w:color="auto"/>
        <w:bottom w:val="none" w:sz="0" w:space="0" w:color="auto"/>
        <w:right w:val="none" w:sz="0" w:space="0" w:color="auto"/>
      </w:divBdr>
      <w:divsChild>
        <w:div w:id="112723344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sChild>
    </w:div>
    <w:div w:id="685445001">
      <w:bodyDiv w:val="1"/>
      <w:marLeft w:val="0"/>
      <w:marRight w:val="0"/>
      <w:marTop w:val="0"/>
      <w:marBottom w:val="0"/>
      <w:divBdr>
        <w:top w:val="none" w:sz="0" w:space="0" w:color="auto"/>
        <w:left w:val="none" w:sz="0" w:space="0" w:color="auto"/>
        <w:bottom w:val="none" w:sz="0" w:space="0" w:color="auto"/>
        <w:right w:val="none" w:sz="0" w:space="0" w:color="auto"/>
      </w:divBdr>
      <w:divsChild>
        <w:div w:id="1559626202">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sChild>
    </w:div>
    <w:div w:id="825363259">
      <w:bodyDiv w:val="1"/>
      <w:marLeft w:val="0"/>
      <w:marRight w:val="0"/>
      <w:marTop w:val="0"/>
      <w:marBottom w:val="0"/>
      <w:divBdr>
        <w:top w:val="none" w:sz="0" w:space="0" w:color="auto"/>
        <w:left w:val="none" w:sz="0" w:space="0" w:color="auto"/>
        <w:bottom w:val="none" w:sz="0" w:space="0" w:color="auto"/>
        <w:right w:val="none" w:sz="0" w:space="0" w:color="auto"/>
      </w:divBdr>
    </w:div>
    <w:div w:id="831262442">
      <w:bodyDiv w:val="1"/>
      <w:marLeft w:val="0"/>
      <w:marRight w:val="0"/>
      <w:marTop w:val="0"/>
      <w:marBottom w:val="0"/>
      <w:divBdr>
        <w:top w:val="none" w:sz="0" w:space="0" w:color="auto"/>
        <w:left w:val="none" w:sz="0" w:space="0" w:color="auto"/>
        <w:bottom w:val="none" w:sz="0" w:space="0" w:color="auto"/>
        <w:right w:val="none" w:sz="0" w:space="0" w:color="auto"/>
      </w:divBdr>
      <w:divsChild>
        <w:div w:id="765737883">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sChild>
    </w:div>
    <w:div w:id="1157767379">
      <w:bodyDiv w:val="1"/>
      <w:marLeft w:val="0"/>
      <w:marRight w:val="0"/>
      <w:marTop w:val="0"/>
      <w:marBottom w:val="0"/>
      <w:divBdr>
        <w:top w:val="none" w:sz="0" w:space="0" w:color="auto"/>
        <w:left w:val="none" w:sz="0" w:space="0" w:color="auto"/>
        <w:bottom w:val="none" w:sz="0" w:space="0" w:color="auto"/>
        <w:right w:val="none" w:sz="0" w:space="0" w:color="auto"/>
      </w:divBdr>
      <w:divsChild>
        <w:div w:id="993601292">
          <w:marLeft w:val="0"/>
          <w:marRight w:val="0"/>
          <w:marTop w:val="0"/>
          <w:marBottom w:val="0"/>
          <w:divBdr>
            <w:top w:val="none" w:sz="0" w:space="0" w:color="auto"/>
            <w:left w:val="none" w:sz="0" w:space="0" w:color="auto"/>
            <w:bottom w:val="none" w:sz="0" w:space="0" w:color="auto"/>
            <w:right w:val="none" w:sz="0" w:space="0" w:color="auto"/>
          </w:divBdr>
        </w:div>
        <w:div w:id="218368538">
          <w:marLeft w:val="0"/>
          <w:marRight w:val="0"/>
          <w:marTop w:val="0"/>
          <w:marBottom w:val="0"/>
          <w:divBdr>
            <w:top w:val="none" w:sz="0" w:space="0" w:color="auto"/>
            <w:left w:val="none" w:sz="0" w:space="0" w:color="auto"/>
            <w:bottom w:val="none" w:sz="0" w:space="0" w:color="auto"/>
            <w:right w:val="none" w:sz="0" w:space="0" w:color="auto"/>
          </w:divBdr>
        </w:div>
        <w:div w:id="289635738">
          <w:marLeft w:val="0"/>
          <w:marRight w:val="0"/>
          <w:marTop w:val="0"/>
          <w:marBottom w:val="0"/>
          <w:divBdr>
            <w:top w:val="none" w:sz="0" w:space="0" w:color="auto"/>
            <w:left w:val="none" w:sz="0" w:space="0" w:color="auto"/>
            <w:bottom w:val="none" w:sz="0" w:space="0" w:color="auto"/>
            <w:right w:val="none" w:sz="0" w:space="0" w:color="auto"/>
          </w:divBdr>
        </w:div>
        <w:div w:id="489489837">
          <w:marLeft w:val="0"/>
          <w:marRight w:val="0"/>
          <w:marTop w:val="0"/>
          <w:marBottom w:val="0"/>
          <w:divBdr>
            <w:top w:val="none" w:sz="0" w:space="0" w:color="auto"/>
            <w:left w:val="none" w:sz="0" w:space="0" w:color="auto"/>
            <w:bottom w:val="none" w:sz="0" w:space="0" w:color="auto"/>
            <w:right w:val="none" w:sz="0" w:space="0" w:color="auto"/>
          </w:divBdr>
        </w:div>
      </w:divsChild>
    </w:div>
    <w:div w:id="1391342648">
      <w:bodyDiv w:val="1"/>
      <w:marLeft w:val="0"/>
      <w:marRight w:val="0"/>
      <w:marTop w:val="0"/>
      <w:marBottom w:val="0"/>
      <w:divBdr>
        <w:top w:val="none" w:sz="0" w:space="0" w:color="auto"/>
        <w:left w:val="none" w:sz="0" w:space="0" w:color="auto"/>
        <w:bottom w:val="none" w:sz="0" w:space="0" w:color="auto"/>
        <w:right w:val="none" w:sz="0" w:space="0" w:color="auto"/>
      </w:divBdr>
    </w:div>
    <w:div w:id="1401520085">
      <w:bodyDiv w:val="1"/>
      <w:marLeft w:val="0"/>
      <w:marRight w:val="0"/>
      <w:marTop w:val="0"/>
      <w:marBottom w:val="0"/>
      <w:divBdr>
        <w:top w:val="none" w:sz="0" w:space="0" w:color="auto"/>
        <w:left w:val="none" w:sz="0" w:space="0" w:color="auto"/>
        <w:bottom w:val="none" w:sz="0" w:space="0" w:color="auto"/>
        <w:right w:val="none" w:sz="0" w:space="0" w:color="auto"/>
      </w:divBdr>
      <w:divsChild>
        <w:div w:id="874581492">
          <w:marLeft w:val="0"/>
          <w:marRight w:val="0"/>
          <w:marTop w:val="0"/>
          <w:marBottom w:val="0"/>
          <w:divBdr>
            <w:top w:val="none" w:sz="0" w:space="0" w:color="auto"/>
            <w:left w:val="none" w:sz="0" w:space="0" w:color="auto"/>
            <w:bottom w:val="none" w:sz="0" w:space="0" w:color="auto"/>
            <w:right w:val="none" w:sz="0" w:space="0" w:color="auto"/>
          </w:divBdr>
        </w:div>
        <w:div w:id="1343967883">
          <w:marLeft w:val="0"/>
          <w:marRight w:val="0"/>
          <w:marTop w:val="0"/>
          <w:marBottom w:val="0"/>
          <w:divBdr>
            <w:top w:val="none" w:sz="0" w:space="0" w:color="auto"/>
            <w:left w:val="none" w:sz="0" w:space="0" w:color="auto"/>
            <w:bottom w:val="none" w:sz="0" w:space="0" w:color="auto"/>
            <w:right w:val="none" w:sz="0" w:space="0" w:color="auto"/>
          </w:divBdr>
        </w:div>
        <w:div w:id="957493951">
          <w:marLeft w:val="0"/>
          <w:marRight w:val="0"/>
          <w:marTop w:val="0"/>
          <w:marBottom w:val="0"/>
          <w:divBdr>
            <w:top w:val="none" w:sz="0" w:space="0" w:color="auto"/>
            <w:left w:val="none" w:sz="0" w:space="0" w:color="auto"/>
            <w:bottom w:val="none" w:sz="0" w:space="0" w:color="auto"/>
            <w:right w:val="none" w:sz="0" w:space="0" w:color="auto"/>
          </w:divBdr>
        </w:div>
        <w:div w:id="1937710733">
          <w:marLeft w:val="0"/>
          <w:marRight w:val="0"/>
          <w:marTop w:val="0"/>
          <w:marBottom w:val="0"/>
          <w:divBdr>
            <w:top w:val="none" w:sz="0" w:space="0" w:color="auto"/>
            <w:left w:val="none" w:sz="0" w:space="0" w:color="auto"/>
            <w:bottom w:val="none" w:sz="0" w:space="0" w:color="auto"/>
            <w:right w:val="none" w:sz="0" w:space="0" w:color="auto"/>
          </w:divBdr>
        </w:div>
        <w:div w:id="362707788">
          <w:marLeft w:val="0"/>
          <w:marRight w:val="0"/>
          <w:marTop w:val="0"/>
          <w:marBottom w:val="0"/>
          <w:divBdr>
            <w:top w:val="none" w:sz="0" w:space="0" w:color="auto"/>
            <w:left w:val="none" w:sz="0" w:space="0" w:color="auto"/>
            <w:bottom w:val="none" w:sz="0" w:space="0" w:color="auto"/>
            <w:right w:val="none" w:sz="0" w:space="0" w:color="auto"/>
          </w:divBdr>
        </w:div>
        <w:div w:id="1270940174">
          <w:marLeft w:val="0"/>
          <w:marRight w:val="0"/>
          <w:marTop w:val="0"/>
          <w:marBottom w:val="0"/>
          <w:divBdr>
            <w:top w:val="none" w:sz="0" w:space="0" w:color="auto"/>
            <w:left w:val="none" w:sz="0" w:space="0" w:color="auto"/>
            <w:bottom w:val="none" w:sz="0" w:space="0" w:color="auto"/>
            <w:right w:val="none" w:sz="0" w:space="0" w:color="auto"/>
          </w:divBdr>
        </w:div>
        <w:div w:id="1429958948">
          <w:marLeft w:val="0"/>
          <w:marRight w:val="0"/>
          <w:marTop w:val="0"/>
          <w:marBottom w:val="0"/>
          <w:divBdr>
            <w:top w:val="none" w:sz="0" w:space="0" w:color="auto"/>
            <w:left w:val="none" w:sz="0" w:space="0" w:color="auto"/>
            <w:bottom w:val="none" w:sz="0" w:space="0" w:color="auto"/>
            <w:right w:val="none" w:sz="0" w:space="0" w:color="auto"/>
          </w:divBdr>
        </w:div>
        <w:div w:id="767047188">
          <w:marLeft w:val="0"/>
          <w:marRight w:val="0"/>
          <w:marTop w:val="0"/>
          <w:marBottom w:val="0"/>
          <w:divBdr>
            <w:top w:val="none" w:sz="0" w:space="0" w:color="auto"/>
            <w:left w:val="none" w:sz="0" w:space="0" w:color="auto"/>
            <w:bottom w:val="none" w:sz="0" w:space="0" w:color="auto"/>
            <w:right w:val="none" w:sz="0" w:space="0" w:color="auto"/>
          </w:divBdr>
        </w:div>
        <w:div w:id="630402232">
          <w:marLeft w:val="0"/>
          <w:marRight w:val="0"/>
          <w:marTop w:val="0"/>
          <w:marBottom w:val="0"/>
          <w:divBdr>
            <w:top w:val="none" w:sz="0" w:space="0" w:color="auto"/>
            <w:left w:val="none" w:sz="0" w:space="0" w:color="auto"/>
            <w:bottom w:val="none" w:sz="0" w:space="0" w:color="auto"/>
            <w:right w:val="none" w:sz="0" w:space="0" w:color="auto"/>
          </w:divBdr>
        </w:div>
        <w:div w:id="655652181">
          <w:marLeft w:val="0"/>
          <w:marRight w:val="0"/>
          <w:marTop w:val="0"/>
          <w:marBottom w:val="0"/>
          <w:divBdr>
            <w:top w:val="none" w:sz="0" w:space="0" w:color="auto"/>
            <w:left w:val="none" w:sz="0" w:space="0" w:color="auto"/>
            <w:bottom w:val="none" w:sz="0" w:space="0" w:color="auto"/>
            <w:right w:val="none" w:sz="0" w:space="0" w:color="auto"/>
          </w:divBdr>
        </w:div>
        <w:div w:id="1987586152">
          <w:marLeft w:val="0"/>
          <w:marRight w:val="0"/>
          <w:marTop w:val="0"/>
          <w:marBottom w:val="0"/>
          <w:divBdr>
            <w:top w:val="none" w:sz="0" w:space="0" w:color="auto"/>
            <w:left w:val="none" w:sz="0" w:space="0" w:color="auto"/>
            <w:bottom w:val="none" w:sz="0" w:space="0" w:color="auto"/>
            <w:right w:val="none" w:sz="0" w:space="0" w:color="auto"/>
          </w:divBdr>
        </w:div>
        <w:div w:id="910388284">
          <w:marLeft w:val="0"/>
          <w:marRight w:val="0"/>
          <w:marTop w:val="0"/>
          <w:marBottom w:val="0"/>
          <w:divBdr>
            <w:top w:val="none" w:sz="0" w:space="0" w:color="auto"/>
            <w:left w:val="none" w:sz="0" w:space="0" w:color="auto"/>
            <w:bottom w:val="none" w:sz="0" w:space="0" w:color="auto"/>
            <w:right w:val="none" w:sz="0" w:space="0" w:color="auto"/>
          </w:divBdr>
        </w:div>
        <w:div w:id="1732462127">
          <w:marLeft w:val="0"/>
          <w:marRight w:val="0"/>
          <w:marTop w:val="0"/>
          <w:marBottom w:val="0"/>
          <w:divBdr>
            <w:top w:val="none" w:sz="0" w:space="0" w:color="auto"/>
            <w:left w:val="none" w:sz="0" w:space="0" w:color="auto"/>
            <w:bottom w:val="none" w:sz="0" w:space="0" w:color="auto"/>
            <w:right w:val="none" w:sz="0" w:space="0" w:color="auto"/>
          </w:divBdr>
        </w:div>
        <w:div w:id="80881846">
          <w:marLeft w:val="0"/>
          <w:marRight w:val="0"/>
          <w:marTop w:val="0"/>
          <w:marBottom w:val="0"/>
          <w:divBdr>
            <w:top w:val="none" w:sz="0" w:space="0" w:color="auto"/>
            <w:left w:val="none" w:sz="0" w:space="0" w:color="auto"/>
            <w:bottom w:val="none" w:sz="0" w:space="0" w:color="auto"/>
            <w:right w:val="none" w:sz="0" w:space="0" w:color="auto"/>
          </w:divBdr>
        </w:div>
      </w:divsChild>
    </w:div>
    <w:div w:id="1556939002">
      <w:bodyDiv w:val="1"/>
      <w:marLeft w:val="0"/>
      <w:marRight w:val="0"/>
      <w:marTop w:val="0"/>
      <w:marBottom w:val="0"/>
      <w:divBdr>
        <w:top w:val="none" w:sz="0" w:space="0" w:color="auto"/>
        <w:left w:val="none" w:sz="0" w:space="0" w:color="auto"/>
        <w:bottom w:val="none" w:sz="0" w:space="0" w:color="auto"/>
        <w:right w:val="none" w:sz="0" w:space="0" w:color="auto"/>
      </w:divBdr>
    </w:div>
    <w:div w:id="1963685441">
      <w:bodyDiv w:val="1"/>
      <w:marLeft w:val="0"/>
      <w:marRight w:val="0"/>
      <w:marTop w:val="0"/>
      <w:marBottom w:val="0"/>
      <w:divBdr>
        <w:top w:val="none" w:sz="0" w:space="0" w:color="auto"/>
        <w:left w:val="none" w:sz="0" w:space="0" w:color="auto"/>
        <w:bottom w:val="none" w:sz="0" w:space="0" w:color="auto"/>
        <w:right w:val="none" w:sz="0" w:space="0" w:color="auto"/>
      </w:divBdr>
      <w:divsChild>
        <w:div w:id="1143890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ncer-inequalities.jrc.ec.europa.eu/sites/default/files/docs/ccp2025/ec-oecd-2024-1670-hu.pdf" TargetMode="External"/><Relationship Id="rId18" Type="http://schemas.openxmlformats.org/officeDocument/2006/relationships/hyperlink" Target="https://mabisz.hu/wp-content/uploads/adatszolg/q4/MABISZ_egeszseg_adatszolgaltatas.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aarp.org/money/personal-finance/the-high-cost-of-cancer-treatment/" TargetMode="External"/><Relationship Id="rId7" Type="http://schemas.openxmlformats.org/officeDocument/2006/relationships/settings" Target="settings.xml"/><Relationship Id="rId12" Type="http://schemas.openxmlformats.org/officeDocument/2006/relationships/hyperlink" Target="https://ec.europa.eu/commission/presscorner/detail/en/ip_25_393" TargetMode="External"/><Relationship Id="rId17" Type="http://schemas.openxmlformats.org/officeDocument/2006/relationships/hyperlink" Target="https://ec.europa.eu/commission/presscorner/detail/en/ip_25_39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eurostat/statistics-explained/images/3/3d/Mortality_statistics_Table01_v2.png" TargetMode="External"/><Relationship Id="rId20" Type="http://schemas.openxmlformats.org/officeDocument/2006/relationships/hyperlink" Target="https://mabisz.hu/szemle/?p=7772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sh.hu/stadat_files/nep/hu/nep0010.htm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nn.hu/sajto/-/content/M5mewRibyh3R/2024-02-21-meg-mindig-felunk-es-halogatunk-fontosnak-tartjuk-megsem-jarunk-szurovizsgalatokra" TargetMode="External"/><Relationship Id="rId23" Type="http://schemas.openxmlformats.org/officeDocument/2006/relationships/hyperlink" Target="mailto:sarvari.marcell@nn.hu" TargetMode="External"/><Relationship Id="rId10" Type="http://schemas.openxmlformats.org/officeDocument/2006/relationships/endnotes" Target="endnotes.xml"/><Relationship Id="rId19" Type="http://schemas.openxmlformats.org/officeDocument/2006/relationships/hyperlink" Target="https://mabisz.hu/wp-content/uploads/adatszolg/q4/MABISZ_egeszseg_adatszolgaltata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5298272/" TargetMode="External"/><Relationship Id="rId22" Type="http://schemas.openxmlformats.org/officeDocument/2006/relationships/hyperlink" Target="https://www.nn.hu/egeszsegbiztositas/kulfoldi-gyogykezeles/miert-eri-meg-onnek"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8c43671-b6c6-4a7d-a9a4-1d956417da4e" xsi:nil="true"/>
    <lcf76f155ced4ddcb4097134ff3c332f xmlns="14d9d908-03dc-4823-9db6-d691de04b25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5" ma:contentTypeDescription="Create a new document." ma:contentTypeScope="" ma:versionID="6a36bba1f1cb4a517422bfbd251d1865">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23e86525d0575ec44416475271e2481a"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D8FCF3-32B3-4798-94EC-6AABC7B24803}">
  <ds:schemaRefs>
    <ds:schemaRef ds:uri="http://schemas.microsoft.com/sharepoint/v3/contenttype/forms"/>
  </ds:schemaRefs>
</ds:datastoreItem>
</file>

<file path=customXml/itemProps2.xml><?xml version="1.0" encoding="utf-8"?>
<ds:datastoreItem xmlns:ds="http://schemas.openxmlformats.org/officeDocument/2006/customXml" ds:itemID="{A39306D3-055C-44CC-8B75-DD3AEF61E2AE}">
  <ds:schemaRefs>
    <ds:schemaRef ds:uri="http://schemas.microsoft.com/office/2006/metadata/properties"/>
    <ds:schemaRef ds:uri="http://schemas.microsoft.com/office/infopath/2007/PartnerControls"/>
    <ds:schemaRef ds:uri="58c43671-b6c6-4a7d-a9a4-1d956417da4e"/>
    <ds:schemaRef ds:uri="14d9d908-03dc-4823-9db6-d691de04b258"/>
  </ds:schemaRefs>
</ds:datastoreItem>
</file>

<file path=customXml/itemProps3.xml><?xml version="1.0" encoding="utf-8"?>
<ds:datastoreItem xmlns:ds="http://schemas.openxmlformats.org/officeDocument/2006/customXml" ds:itemID="{65317C21-0371-4515-86E1-97509F0189FA}">
  <ds:schemaRefs>
    <ds:schemaRef ds:uri="http://schemas.openxmlformats.org/officeDocument/2006/bibliography"/>
  </ds:schemaRefs>
</ds:datastoreItem>
</file>

<file path=customXml/itemProps4.xml><?xml version="1.0" encoding="utf-8"?>
<ds:datastoreItem xmlns:ds="http://schemas.openxmlformats.org/officeDocument/2006/customXml" ds:itemID="{D75A2EC3-D6CE-453B-AADE-093EBE98F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9d908-03dc-4823-9db6-d691de04b258"/>
    <ds:schemaRef ds:uri="58c43671-b6c6-4a7d-a9a4-1d956417d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1123</Words>
  <Characters>6403</Characters>
  <Application>Microsoft Office Word</Application>
  <DocSecurity>0</DocSecurity>
  <Lines>53</Lines>
  <Paragraphs>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 PR</dc:creator>
  <cp:keywords/>
  <dc:description/>
  <cp:lastModifiedBy>Krisztian Szabados</cp:lastModifiedBy>
  <cp:revision>2</cp:revision>
  <dcterms:created xsi:type="dcterms:W3CDTF">2025-03-31T15:22:00Z</dcterms:created>
  <dcterms:modified xsi:type="dcterms:W3CDTF">2025-03-31T15:22:00Z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0x010100DE3A08E1B77EF34BB5ED84C25FED737E</vt:lpwstr>
  </property>
  <property fmtid="{D5CDD505-2E9C-101B-9397-08002B2CF9AE}" pid="3" name="MSIP_Label_ddca945d-f3c1-4d25-a63f-c5a06d106e9c_Enabled">
    <vt:lpwstr>true</vt:lpwstr>
  </property>
  <property fmtid="{D5CDD505-2E9C-101B-9397-08002B2CF9AE}" pid="4" name="MSIP_Label_ddca945d-f3c1-4d25-a63f-c5a06d106e9c_SetDate">
    <vt:lpwstr>2025-02-05T15:28:55Z</vt:lpwstr>
  </property>
  <property fmtid="{D5CDD505-2E9C-101B-9397-08002B2CF9AE}" pid="5" name="MSIP_Label_ddca945d-f3c1-4d25-a63f-c5a06d106e9c_Method">
    <vt:lpwstr>Standard</vt:lpwstr>
  </property>
  <property fmtid="{D5CDD505-2E9C-101B-9397-08002B2CF9AE}" pid="6" name="MSIP_Label_ddca945d-f3c1-4d25-a63f-c5a06d106e9c_Name">
    <vt:lpwstr>Internal</vt:lpwstr>
  </property>
  <property fmtid="{D5CDD505-2E9C-101B-9397-08002B2CF9AE}" pid="7" name="MSIP_Label_ddca945d-f3c1-4d25-a63f-c5a06d106e9c_SiteId">
    <vt:lpwstr>fed95e69-8d73-43fe-affb-a7d85ede36fb</vt:lpwstr>
  </property>
  <property fmtid="{D5CDD505-2E9C-101B-9397-08002B2CF9AE}" pid="8" name="MSIP_Label_ddca945d-f3c1-4d25-a63f-c5a06d106e9c_ActionId">
    <vt:lpwstr>c9579cc2-0d24-43d2-aa37-7b754e4d3fb7</vt:lpwstr>
  </property>
  <property fmtid="{D5CDD505-2E9C-101B-9397-08002B2CF9AE}" pid="9" name="MSIP_Label_ddca945d-f3c1-4d25-a63f-c5a06d106e9c_ContentBits">
    <vt:lpwstr>0</vt:lpwstr>
  </property>
  <property fmtid="{D5CDD505-2E9C-101B-9397-08002B2CF9AE}" pid="10" name="MediaServiceImageTags">
    <vt:lpwstr/>
  </property>
</Properties>
</file>